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9" w:rsidRPr="006E487A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PROIECT </w:t>
      </w:r>
      <w:r w:rsidR="00C55E59" w:rsidRPr="006E487A">
        <w:rPr>
          <w:rFonts w:ascii="Times New Roman" w:hAnsi="Times New Roman"/>
          <w:b/>
          <w:bCs/>
          <w:color w:val="000000"/>
          <w:sz w:val="28"/>
          <w:szCs w:val="28"/>
        </w:rPr>
        <w:t>DECIZIA ETAPEI DE ÎNCADRARE</w:t>
      </w:r>
    </w:p>
    <w:p w:rsidR="00DD6EF5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84FAD">
        <w:rPr>
          <w:rFonts w:ascii="Times New Roman" w:hAnsi="Times New Roman"/>
          <w:sz w:val="28"/>
          <w:szCs w:val="28"/>
        </w:rPr>
        <w:t xml:space="preserve">Ca urmare a solicitării de emitere a acordului de mediu adresate de </w:t>
      </w:r>
      <w:r>
        <w:rPr>
          <w:rFonts w:ascii="Times New Roman" w:hAnsi="Times New Roman"/>
          <w:b/>
          <w:sz w:val="28"/>
          <w:szCs w:val="28"/>
        </w:rPr>
        <w:t xml:space="preserve">SC </w:t>
      </w:r>
      <w:r w:rsidR="00C67926">
        <w:rPr>
          <w:rFonts w:ascii="Times New Roman" w:hAnsi="Times New Roman"/>
          <w:b/>
          <w:sz w:val="28"/>
          <w:szCs w:val="28"/>
        </w:rPr>
        <w:t>CAIUS</w:t>
      </w:r>
      <w:r>
        <w:rPr>
          <w:rFonts w:ascii="Times New Roman" w:hAnsi="Times New Roman"/>
          <w:b/>
          <w:sz w:val="28"/>
          <w:szCs w:val="28"/>
        </w:rPr>
        <w:t xml:space="preserve"> SRL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cu sediul în </w:t>
      </w:r>
      <w:r>
        <w:rPr>
          <w:rFonts w:ascii="Times New Roman" w:hAnsi="Times New Roman"/>
          <w:color w:val="000000"/>
          <w:sz w:val="28"/>
          <w:szCs w:val="28"/>
        </w:rPr>
        <w:t xml:space="preserve">comuna </w:t>
      </w:r>
      <w:r w:rsidR="00C67926">
        <w:rPr>
          <w:rFonts w:ascii="Times New Roman" w:hAnsi="Times New Roman"/>
          <w:color w:val="000000"/>
          <w:sz w:val="28"/>
          <w:szCs w:val="28"/>
        </w:rPr>
        <w:t>Tupilați</w:t>
      </w:r>
      <w:r>
        <w:rPr>
          <w:rFonts w:ascii="Times New Roman" w:hAnsi="Times New Roman"/>
          <w:color w:val="000000"/>
          <w:sz w:val="28"/>
          <w:szCs w:val="28"/>
        </w:rPr>
        <w:t xml:space="preserve">, sat </w:t>
      </w:r>
      <w:r w:rsidR="00C67926">
        <w:rPr>
          <w:rFonts w:ascii="Times New Roman" w:hAnsi="Times New Roman"/>
          <w:color w:val="000000"/>
          <w:sz w:val="28"/>
          <w:szCs w:val="28"/>
        </w:rPr>
        <w:t>Tupilați</w:t>
      </w:r>
      <w:r w:rsidR="00857549">
        <w:rPr>
          <w:rFonts w:ascii="Times New Roman" w:hAnsi="Times New Roman"/>
          <w:color w:val="000000"/>
          <w:sz w:val="28"/>
          <w:szCs w:val="28"/>
        </w:rPr>
        <w:t>,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 judeţul Neamţ, telefon 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C67926">
        <w:rPr>
          <w:rFonts w:ascii="Times New Roman" w:hAnsi="Times New Roman"/>
          <w:color w:val="000000"/>
          <w:sz w:val="28"/>
          <w:szCs w:val="28"/>
        </w:rPr>
        <w:t xml:space="preserve">44 </w:t>
      </w:r>
      <w:r w:rsidRPr="00F84FAD">
        <w:rPr>
          <w:rFonts w:ascii="Times New Roman" w:hAnsi="Times New Roman"/>
          <w:color w:val="000000"/>
          <w:sz w:val="28"/>
          <w:szCs w:val="28"/>
        </w:rPr>
        <w:t>/</w:t>
      </w:r>
      <w:r w:rsidR="00BE7C46">
        <w:rPr>
          <w:rFonts w:ascii="Times New Roman" w:hAnsi="Times New Roman"/>
          <w:color w:val="000000"/>
          <w:sz w:val="28"/>
          <w:szCs w:val="28"/>
        </w:rPr>
        <w:t>477706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84FAD">
        <w:rPr>
          <w:rFonts w:ascii="Times New Roman" w:hAnsi="Times New Roman"/>
          <w:sz w:val="28"/>
          <w:szCs w:val="28"/>
        </w:rPr>
        <w:t xml:space="preserve">înregistrată la A.P.M. Neamţ cu nr. </w:t>
      </w:r>
      <w:r w:rsidR="00BE7C46">
        <w:rPr>
          <w:rFonts w:ascii="Times New Roman" w:hAnsi="Times New Roman"/>
          <w:sz w:val="28"/>
          <w:szCs w:val="28"/>
        </w:rPr>
        <w:t>65</w:t>
      </w:r>
      <w:r w:rsidRPr="00F84FAD">
        <w:rPr>
          <w:rFonts w:ascii="Times New Roman" w:hAnsi="Times New Roman"/>
          <w:sz w:val="28"/>
          <w:szCs w:val="28"/>
        </w:rPr>
        <w:t xml:space="preserve"> din </w:t>
      </w:r>
      <w:r>
        <w:rPr>
          <w:rFonts w:ascii="Times New Roman" w:hAnsi="Times New Roman"/>
          <w:sz w:val="28"/>
          <w:szCs w:val="28"/>
        </w:rPr>
        <w:t>0</w:t>
      </w:r>
      <w:r w:rsidR="00BE7C46">
        <w:rPr>
          <w:rFonts w:ascii="Times New Roman" w:hAnsi="Times New Roman"/>
          <w:sz w:val="28"/>
          <w:szCs w:val="28"/>
        </w:rPr>
        <w:t>7</w:t>
      </w:r>
      <w:r w:rsidRPr="00F84FAD">
        <w:rPr>
          <w:rFonts w:ascii="Times New Roman" w:hAnsi="Times New Roman"/>
          <w:color w:val="000000"/>
          <w:sz w:val="28"/>
          <w:szCs w:val="28"/>
        </w:rPr>
        <w:t>.</w:t>
      </w:r>
      <w:r w:rsidR="00857549">
        <w:rPr>
          <w:rFonts w:ascii="Times New Roman" w:hAnsi="Times New Roman"/>
          <w:color w:val="000000"/>
          <w:sz w:val="28"/>
          <w:szCs w:val="28"/>
        </w:rPr>
        <w:t>01</w:t>
      </w:r>
      <w:r w:rsidRPr="00F84FAD">
        <w:rPr>
          <w:rFonts w:ascii="Times New Roman" w:hAnsi="Times New Roman"/>
          <w:color w:val="000000"/>
          <w:sz w:val="28"/>
          <w:szCs w:val="28"/>
        </w:rPr>
        <w:t>.201</w:t>
      </w:r>
      <w:r w:rsidR="00857549">
        <w:rPr>
          <w:rFonts w:ascii="Times New Roman" w:hAnsi="Times New Roman"/>
          <w:color w:val="000000"/>
          <w:sz w:val="28"/>
          <w:szCs w:val="28"/>
        </w:rPr>
        <w:t>9</w:t>
      </w:r>
      <w:r w:rsidRPr="00F84FAD">
        <w:rPr>
          <w:rFonts w:ascii="Times New Roman" w:hAnsi="Times New Roman"/>
          <w:sz w:val="28"/>
          <w:szCs w:val="28"/>
        </w:rPr>
        <w:t>, în baza</w:t>
      </w:r>
      <w:r>
        <w:rPr>
          <w:rFonts w:ascii="Times New Roman" w:hAnsi="Times New Roman"/>
          <w:sz w:val="28"/>
          <w:szCs w:val="28"/>
        </w:rPr>
        <w:t xml:space="preserve"> Legii nr. 292 /2018 privind evaluarea impactului anumitor proiecte publice și private asupra mediului și a </w:t>
      </w:r>
      <w:r w:rsidRPr="00F84FAD">
        <w:rPr>
          <w:rFonts w:ascii="Times New Roman" w:hAnsi="Times New Roman"/>
          <w:sz w:val="28"/>
          <w:szCs w:val="28"/>
        </w:rPr>
        <w:t>Ordonanţei de Urgenţă a Guvernului nr. 57 /2007 privind regimul ariilor naturale protejate,  conservarea habitatelor naturale, a florei şi faunei sălbatice,</w:t>
      </w:r>
      <w:r>
        <w:rPr>
          <w:rFonts w:ascii="Times New Roman" w:hAnsi="Times New Roman"/>
          <w:sz w:val="28"/>
          <w:szCs w:val="28"/>
        </w:rPr>
        <w:t xml:space="preserve"> aprobată cu modificări și completări prin Legea nr. 49 /2011, cu modificările și completările ulterioare,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Agenția pentru Protecția Mediului Neamț decide ca urmare a consultărilor desfășurate în cadrul ședințe</w:t>
      </w:r>
      <w:r w:rsidR="0085754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Comisiei de </w:t>
      </w:r>
      <w:r w:rsidR="00EA0F2B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naliză </w:t>
      </w:r>
      <w:r w:rsidR="00EA0F2B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ehnică din data de </w:t>
      </w:r>
      <w:r w:rsidR="00BE7C46">
        <w:rPr>
          <w:rFonts w:ascii="Times New Roman" w:hAnsi="Times New Roman"/>
          <w:sz w:val="28"/>
          <w:szCs w:val="28"/>
        </w:rPr>
        <w:t>0</w:t>
      </w:r>
      <w:r w:rsidR="00857549">
        <w:rPr>
          <w:rFonts w:ascii="Times New Roman" w:hAnsi="Times New Roman"/>
          <w:sz w:val="28"/>
          <w:szCs w:val="28"/>
        </w:rPr>
        <w:t>4.0</w:t>
      </w:r>
      <w:r w:rsidR="00BE7C46">
        <w:rPr>
          <w:rFonts w:ascii="Times New Roman" w:hAnsi="Times New Roman"/>
          <w:sz w:val="28"/>
          <w:szCs w:val="28"/>
        </w:rPr>
        <w:t>4</w:t>
      </w:r>
      <w:r w:rsidR="00857549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că proiectul </w:t>
      </w:r>
      <w:r w:rsidR="00857549"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857549">
        <w:rPr>
          <w:rFonts w:ascii="Times New Roman" w:hAnsi="Times New Roman" w:cs="Times New Roman"/>
          <w:b/>
          <w:color w:val="000000"/>
          <w:sz w:val="28"/>
          <w:szCs w:val="28"/>
        </w:rPr>
        <w:t>Proiectarea și deschiderea e</w:t>
      </w:r>
      <w:r w:rsidR="00857549" w:rsidRPr="004B1185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="00857549">
        <w:rPr>
          <w:rFonts w:ascii="Times New Roman" w:hAnsi="Times New Roman" w:cs="Times New Roman"/>
          <w:b/>
          <w:color w:val="000000"/>
          <w:sz w:val="28"/>
          <w:szCs w:val="28"/>
        </w:rPr>
        <w:t>ploatării agregatelor minerale din rîul</w:t>
      </w:r>
      <w:r w:rsidR="00BE7C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Moldova, mal stâng,</w:t>
      </w:r>
      <w:r w:rsidR="008575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7C46">
        <w:rPr>
          <w:rFonts w:ascii="Times New Roman" w:hAnsi="Times New Roman" w:cs="Times New Roman"/>
          <w:b/>
          <w:color w:val="000000"/>
          <w:sz w:val="28"/>
          <w:szCs w:val="28"/>
        </w:rPr>
        <w:t>pe</w:t>
      </w:r>
      <w:r w:rsidR="008575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rimetrul </w:t>
      </w:r>
      <w:r w:rsidR="00BE7C46">
        <w:rPr>
          <w:rFonts w:ascii="Times New Roman" w:hAnsi="Times New Roman" w:cs="Times New Roman"/>
          <w:b/>
          <w:color w:val="000000"/>
          <w:sz w:val="28"/>
          <w:szCs w:val="28"/>
        </w:rPr>
        <w:t>Tupilați</w:t>
      </w:r>
      <w:r w:rsidR="00857549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4B1185">
        <w:rPr>
          <w:rFonts w:ascii="Times New Roman" w:hAnsi="Times New Roman" w:cs="Times New Roman"/>
          <w:sz w:val="28"/>
          <w:szCs w:val="28"/>
        </w:rPr>
        <w:t>propus a fi amplasat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857549">
        <w:rPr>
          <w:rFonts w:ascii="Times New Roman" w:hAnsi="Times New Roman" w:cs="Times New Roman"/>
          <w:sz w:val="28"/>
          <w:szCs w:val="28"/>
        </w:rPr>
        <w:t xml:space="preserve">extravilanul </w:t>
      </w:r>
      <w:r>
        <w:rPr>
          <w:rFonts w:ascii="Times New Roman" w:hAnsi="Times New Roman" w:cs="Times New Roman"/>
          <w:sz w:val="28"/>
          <w:szCs w:val="28"/>
        </w:rPr>
        <w:t>comun</w:t>
      </w:r>
      <w:r w:rsidR="00857549">
        <w:rPr>
          <w:rFonts w:ascii="Times New Roman" w:hAnsi="Times New Roman" w:cs="Times New Roman"/>
          <w:sz w:val="28"/>
          <w:szCs w:val="28"/>
        </w:rPr>
        <w:t>e</w:t>
      </w:r>
      <w:r w:rsidR="00BE7C46">
        <w:rPr>
          <w:rFonts w:ascii="Times New Roman" w:hAnsi="Times New Roman" w:cs="Times New Roman"/>
          <w:sz w:val="28"/>
          <w:szCs w:val="28"/>
        </w:rPr>
        <w:t>i Tupilați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185">
        <w:rPr>
          <w:rFonts w:ascii="Times New Roman" w:hAnsi="Times New Roman" w:cs="Times New Roman"/>
          <w:b/>
          <w:sz w:val="28"/>
          <w:szCs w:val="28"/>
        </w:rPr>
        <w:t>- se supune evaluării impactului asupra mediului;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se supune evaluării adecvate;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nu se supune evaluării impactului asupra corpurilor de apă.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4FAD">
        <w:rPr>
          <w:rFonts w:ascii="Times New Roman" w:hAnsi="Times New Roman"/>
          <w:b/>
          <w:sz w:val="28"/>
          <w:szCs w:val="28"/>
        </w:rPr>
        <w:t>Justificarea prezentei decizii: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I.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b/>
          <w:sz w:val="28"/>
          <w:szCs w:val="28"/>
        </w:rPr>
        <w:t>Motivele pe baza cărora s-a stabilit necesitatea efectuării evaluării impactului asupra mediului sunt următoarele:</w:t>
      </w:r>
    </w:p>
    <w:p w:rsidR="00857549" w:rsidRPr="00F84FAD" w:rsidRDefault="00857549" w:rsidP="008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1) </w:t>
      </w:r>
      <w:r w:rsidRPr="00F84FAD">
        <w:rPr>
          <w:rFonts w:ascii="Times New Roman" w:hAnsi="Times New Roman"/>
          <w:sz w:val="28"/>
          <w:szCs w:val="28"/>
        </w:rPr>
        <w:t xml:space="preserve">proiectul se încadrează în prevederile </w:t>
      </w:r>
      <w:r>
        <w:rPr>
          <w:rFonts w:ascii="Times New Roman" w:hAnsi="Times New Roman"/>
          <w:sz w:val="28"/>
          <w:szCs w:val="28"/>
        </w:rPr>
        <w:t xml:space="preserve">Legii nr. 292 /2018 privind evaluarea impactului anumitor proiecte publice și private asupra mediului, 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Anexa nr. 2 – „Lista proiectelor pentru care trebuie stabilită necesitatea efectuării evaluării impactului asupra mediului” – pct. </w:t>
      </w:r>
      <w:r>
        <w:rPr>
          <w:rFonts w:ascii="Times New Roman" w:hAnsi="Times New Roman"/>
          <w:color w:val="000000"/>
          <w:sz w:val="28"/>
          <w:szCs w:val="28"/>
        </w:rPr>
        <w:t>2 ”Industria extractivă”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lit.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Pr="00F84FAD">
        <w:rPr>
          <w:rFonts w:ascii="Times New Roman" w:hAnsi="Times New Roman"/>
          <w:color w:val="000000"/>
          <w:sz w:val="28"/>
          <w:szCs w:val="28"/>
        </w:rPr>
        <w:t>) ”</w:t>
      </w:r>
      <w:r>
        <w:rPr>
          <w:rFonts w:ascii="Times New Roman" w:hAnsi="Times New Roman"/>
          <w:color w:val="000000"/>
          <w:sz w:val="28"/>
          <w:szCs w:val="28"/>
        </w:rPr>
        <w:t>extr</w:t>
      </w:r>
      <w:r w:rsidR="00BE7C46">
        <w:rPr>
          <w:rFonts w:ascii="Times New Roman" w:hAnsi="Times New Roman"/>
          <w:color w:val="000000"/>
          <w:sz w:val="28"/>
          <w:szCs w:val="28"/>
        </w:rPr>
        <w:t xml:space="preserve">acția mineralelor prin dragare ...” și pct. 10 ”Proiecte de infrastructură”, lit. f) ”... lucrări împotriva inundațiilor” </w:t>
      </w:r>
      <w:r w:rsidRPr="00F84FAD">
        <w:rPr>
          <w:rFonts w:ascii="Times New Roman" w:hAnsi="Times New Roman"/>
          <w:color w:val="000000"/>
          <w:sz w:val="28"/>
          <w:szCs w:val="28"/>
        </w:rPr>
        <w:t>;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2)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b/>
          <w:sz w:val="28"/>
          <w:szCs w:val="28"/>
        </w:rPr>
        <w:t>caracteristicile proiectului: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a.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F84FAD">
        <w:rPr>
          <w:rFonts w:ascii="Times New Roman" w:hAnsi="Times New Roman"/>
          <w:b/>
          <w:sz w:val="28"/>
          <w:szCs w:val="28"/>
        </w:rPr>
        <w:t xml:space="preserve">dimensiunea </w:t>
      </w:r>
      <w:r>
        <w:rPr>
          <w:rFonts w:ascii="Times New Roman" w:hAnsi="Times New Roman"/>
          <w:b/>
          <w:sz w:val="28"/>
          <w:szCs w:val="28"/>
        </w:rPr>
        <w:t>şi concepţia întregului proiect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</w:p>
    <w:p w:rsidR="00857549" w:rsidRDefault="00CA57A3" w:rsidP="00857549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b w:val="0"/>
          <w:sz w:val="28"/>
          <w:lang w:val="ro-RO"/>
        </w:rPr>
      </w:pPr>
      <w:bookmarkStart w:id="0" w:name="_Toc523343905"/>
      <w:r w:rsidRPr="00F84FAD">
        <w:rPr>
          <w:rFonts w:ascii="Times New Roman" w:hAnsi="Times New Roman"/>
          <w:sz w:val="28"/>
          <w:lang w:val="ro-RO"/>
        </w:rPr>
        <w:t xml:space="preserve">             </w:t>
      </w:r>
      <w:bookmarkEnd w:id="0"/>
      <w:r>
        <w:rPr>
          <w:rFonts w:ascii="Times New Roman" w:hAnsi="Times New Roman"/>
          <w:sz w:val="28"/>
          <w:lang w:val="ro-RO"/>
        </w:rPr>
        <w:t xml:space="preserve"> </w:t>
      </w:r>
      <w:r>
        <w:rPr>
          <w:rFonts w:ascii="Times New Roman" w:hAnsi="Times New Roman"/>
          <w:b w:val="0"/>
          <w:sz w:val="28"/>
          <w:lang w:val="ro-RO"/>
        </w:rPr>
        <w:t xml:space="preserve">              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Amplasamentul este situat în albia minoră a râului </w:t>
      </w:r>
      <w:r w:rsidR="005161D6">
        <w:rPr>
          <w:rFonts w:ascii="Times New Roman" w:hAnsi="Times New Roman"/>
          <w:b w:val="0"/>
          <w:sz w:val="28"/>
          <w:lang w:val="ro-RO"/>
        </w:rPr>
        <w:t>Moldova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, </w:t>
      </w:r>
      <w:r w:rsidR="00F52BD7">
        <w:rPr>
          <w:rFonts w:ascii="Times New Roman" w:hAnsi="Times New Roman"/>
          <w:b w:val="0"/>
          <w:sz w:val="28"/>
          <w:lang w:val="ro-RO"/>
        </w:rPr>
        <w:t xml:space="preserve">mal </w:t>
      </w:r>
      <w:r w:rsidR="005161D6">
        <w:rPr>
          <w:rFonts w:ascii="Times New Roman" w:hAnsi="Times New Roman"/>
          <w:b w:val="0"/>
          <w:sz w:val="28"/>
          <w:lang w:val="ro-RO"/>
        </w:rPr>
        <w:t>stâng, la 2,05 km aval de podul rutier de pe DJ 208 G Tupilați – Hanul Ancuței, borne CSA 36 – 35, în extravilanul comunei Tupilați</w:t>
      </w:r>
      <w:r w:rsidR="00F52BD7">
        <w:rPr>
          <w:rFonts w:ascii="Times New Roman" w:hAnsi="Times New Roman"/>
          <w:b w:val="0"/>
          <w:sz w:val="28"/>
          <w:lang w:val="ro-RO"/>
        </w:rPr>
        <w:t>;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 pe malul drept, amonte de perimetrul Tupilați se află un dig de apărare; 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suprafață perimetru 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66780 </w:t>
      </w:r>
      <w:r w:rsidR="00857549">
        <w:rPr>
          <w:rFonts w:ascii="Times New Roman" w:hAnsi="Times New Roman"/>
          <w:b w:val="0"/>
          <w:sz w:val="28"/>
          <w:lang w:val="ro-RO"/>
        </w:rPr>
        <w:t>mp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 (din care 500 mp cale de acces și 66280 mp suprafață pentru exploatat agregate; L</w:t>
      </w:r>
      <w:r w:rsidR="005161D6">
        <w:rPr>
          <w:rFonts w:ascii="Times New Roman" w:hAnsi="Times New Roman"/>
          <w:b w:val="0"/>
          <w:sz w:val="28"/>
          <w:vertAlign w:val="subscript"/>
          <w:lang w:val="ro-RO"/>
        </w:rPr>
        <w:t>med</w:t>
      </w:r>
      <w:r w:rsidR="005161D6">
        <w:rPr>
          <w:rFonts w:ascii="Times New Roman" w:hAnsi="Times New Roman"/>
          <w:b w:val="0"/>
          <w:sz w:val="28"/>
          <w:lang w:val="ro-RO"/>
        </w:rPr>
        <w:t>= 960 m, l</w:t>
      </w:r>
      <w:r w:rsidR="005161D6">
        <w:rPr>
          <w:rFonts w:ascii="Times New Roman" w:hAnsi="Times New Roman"/>
          <w:b w:val="0"/>
          <w:sz w:val="28"/>
          <w:vertAlign w:val="subscript"/>
          <w:lang w:val="ro-RO"/>
        </w:rPr>
        <w:t>med</w:t>
      </w:r>
      <w:r w:rsidR="005161D6">
        <w:rPr>
          <w:rFonts w:ascii="Times New Roman" w:hAnsi="Times New Roman"/>
          <w:b w:val="0"/>
          <w:sz w:val="28"/>
          <w:lang w:val="ro-RO"/>
        </w:rPr>
        <w:t>= 70 m)</w:t>
      </w:r>
      <w:r w:rsidR="00857549">
        <w:rPr>
          <w:rFonts w:ascii="Times New Roman" w:hAnsi="Times New Roman"/>
          <w:b w:val="0"/>
          <w:sz w:val="28"/>
          <w:lang w:val="ro-RO"/>
        </w:rPr>
        <w:t>.</w:t>
      </w:r>
    </w:p>
    <w:p w:rsidR="00EA21B5" w:rsidRDefault="00EA21B5" w:rsidP="00EA21B5">
      <w:pPr>
        <w:pStyle w:val="CaracterCaracter1"/>
        <w:jc w:val="both"/>
        <w:rPr>
          <w:sz w:val="28"/>
          <w:szCs w:val="28"/>
        </w:rPr>
      </w:pPr>
      <w:r w:rsidRPr="004A7461">
        <w:rPr>
          <w:sz w:val="28"/>
          <w:szCs w:val="28"/>
        </w:rPr>
        <w:t xml:space="preserve">              Extracţia se va realiza în limitele perimetrului avizat conform punctelor de contur în coordonate STEREO 70:   </w:t>
      </w:r>
    </w:p>
    <w:p w:rsidR="00EA21B5" w:rsidRDefault="00EA21B5" w:rsidP="00EA21B5">
      <w:pPr>
        <w:pStyle w:val="CaracterCaracter1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Punct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X</w:t>
            </w:r>
          </w:p>
        </w:tc>
        <w:tc>
          <w:tcPr>
            <w:tcW w:w="2280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Y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621331</w:t>
            </w:r>
          </w:p>
        </w:tc>
        <w:tc>
          <w:tcPr>
            <w:tcW w:w="2280" w:type="dxa"/>
          </w:tcPr>
          <w:p w:rsidR="00EA21B5" w:rsidRPr="0044279E" w:rsidRDefault="00EA21B5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27094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621229</w:t>
            </w:r>
          </w:p>
        </w:tc>
        <w:tc>
          <w:tcPr>
            <w:tcW w:w="2280" w:type="dxa"/>
          </w:tcPr>
          <w:p w:rsidR="00EA21B5" w:rsidRPr="0044279E" w:rsidRDefault="00EA21B5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27184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620829</w:t>
            </w:r>
          </w:p>
        </w:tc>
        <w:tc>
          <w:tcPr>
            <w:tcW w:w="2280" w:type="dxa"/>
          </w:tcPr>
          <w:p w:rsidR="00EA21B5" w:rsidRPr="0044279E" w:rsidRDefault="00EA21B5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27245</w:t>
            </w:r>
          </w:p>
        </w:tc>
      </w:tr>
    </w:tbl>
    <w:p w:rsidR="0029279B" w:rsidRDefault="0029279B">
      <w:r>
        <w:br w:type="page"/>
      </w:r>
    </w:p>
    <w:p w:rsidR="0029279B" w:rsidRPr="0029279B" w:rsidRDefault="0029279B" w:rsidP="00292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- 2 -</w:t>
      </w: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620646</w:t>
            </w:r>
          </w:p>
        </w:tc>
        <w:tc>
          <w:tcPr>
            <w:tcW w:w="2280" w:type="dxa"/>
          </w:tcPr>
          <w:p w:rsidR="00EA21B5" w:rsidRPr="0044279E" w:rsidRDefault="00EA21B5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27276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29279B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br w:type="page"/>
            </w:r>
            <w:r w:rsidR="00EA21B5" w:rsidRPr="0044279E">
              <w:rPr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620384</w:t>
            </w:r>
          </w:p>
        </w:tc>
        <w:tc>
          <w:tcPr>
            <w:tcW w:w="2280" w:type="dxa"/>
          </w:tcPr>
          <w:p w:rsidR="00EA21B5" w:rsidRPr="0044279E" w:rsidRDefault="00EA21B5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27337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620310</w:t>
            </w:r>
          </w:p>
        </w:tc>
        <w:tc>
          <w:tcPr>
            <w:tcW w:w="2280" w:type="dxa"/>
          </w:tcPr>
          <w:p w:rsidR="00EA21B5" w:rsidRPr="0044279E" w:rsidRDefault="00EA21B5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27297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620644</w:t>
            </w:r>
          </w:p>
        </w:tc>
        <w:tc>
          <w:tcPr>
            <w:tcW w:w="2280" w:type="dxa"/>
          </w:tcPr>
          <w:p w:rsidR="00EA21B5" w:rsidRPr="0044279E" w:rsidRDefault="00EA21B5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27202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620989</w:t>
            </w:r>
          </w:p>
        </w:tc>
        <w:tc>
          <w:tcPr>
            <w:tcW w:w="2280" w:type="dxa"/>
          </w:tcPr>
          <w:p w:rsidR="00EA21B5" w:rsidRPr="0044279E" w:rsidRDefault="00EA21B5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27148</w:t>
            </w:r>
          </w:p>
        </w:tc>
      </w:tr>
    </w:tbl>
    <w:p w:rsidR="00EA21B5" w:rsidRDefault="00EA21B5" w:rsidP="00EA21B5">
      <w:pPr>
        <w:pStyle w:val="BodyText"/>
        <w:rPr>
          <w:lang w:val="ro-RO"/>
        </w:rPr>
      </w:pPr>
    </w:p>
    <w:p w:rsidR="008B4047" w:rsidRDefault="00EA21B5" w:rsidP="008B4047">
      <w:pPr>
        <w:pStyle w:val="BodyText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B4047">
        <w:rPr>
          <w:rFonts w:ascii="Times New Roman" w:hAnsi="Times New Roman"/>
          <w:b/>
          <w:sz w:val="28"/>
          <w:szCs w:val="28"/>
          <w:lang w:val="ro-RO"/>
        </w:rPr>
        <w:t xml:space="preserve">              Perimetrul Tupilați fiind amplasat în interiorul sitului NATURA 2000 ROSCI0364 ”Râul Moldova între Tupilați și Roman”, conform Regulamentului sitului, în perioada 01.04. – 01.10. a fiecărui an sunt </w:t>
      </w:r>
      <w:r w:rsidR="008B4047" w:rsidRPr="008B4047">
        <w:rPr>
          <w:rFonts w:ascii="Times New Roman" w:hAnsi="Times New Roman"/>
          <w:b/>
          <w:sz w:val="28"/>
          <w:szCs w:val="28"/>
          <w:lang w:val="ro-RO"/>
        </w:rPr>
        <w:t xml:space="preserve">permise doar </w:t>
      </w:r>
      <w:r w:rsidRPr="008B4047">
        <w:rPr>
          <w:rFonts w:ascii="Times New Roman" w:hAnsi="Times New Roman"/>
          <w:b/>
          <w:sz w:val="28"/>
          <w:szCs w:val="28"/>
          <w:lang w:val="ro-RO"/>
        </w:rPr>
        <w:t>lucrările</w:t>
      </w:r>
      <w:r w:rsidR="008B4047" w:rsidRPr="008B4047">
        <w:rPr>
          <w:rFonts w:ascii="Times New Roman" w:hAnsi="Times New Roman"/>
          <w:b/>
          <w:sz w:val="28"/>
          <w:szCs w:val="28"/>
          <w:lang w:val="ro-RO"/>
        </w:rPr>
        <w:t xml:space="preserve"> de exploatare ”în bazin închis”</w:t>
      </w:r>
      <w:r w:rsidR="008B4047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B955CE" w:rsidRDefault="008B4047" w:rsidP="008B4047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În perioada de restricție (01.04. – 01.10.) punctele amonte și aval </w:t>
      </w:r>
      <w:r w:rsidR="00B955CE">
        <w:rPr>
          <w:rFonts w:ascii="Times New Roman" w:hAnsi="Times New Roman"/>
          <w:sz w:val="28"/>
          <w:szCs w:val="28"/>
          <w:lang w:val="ro-RO"/>
        </w:rPr>
        <w:t xml:space="preserve">ce delimitează </w:t>
      </w:r>
      <w:r w:rsidR="00472521">
        <w:rPr>
          <w:rFonts w:ascii="Times New Roman" w:hAnsi="Times New Roman"/>
          <w:sz w:val="28"/>
          <w:szCs w:val="28"/>
          <w:lang w:val="ro-RO"/>
        </w:rPr>
        <w:t>”</w:t>
      </w:r>
      <w:r w:rsidR="00B955CE">
        <w:rPr>
          <w:rFonts w:ascii="Times New Roman" w:hAnsi="Times New Roman"/>
          <w:sz w:val="28"/>
          <w:szCs w:val="28"/>
          <w:lang w:val="ro-RO"/>
        </w:rPr>
        <w:t>bazin</w:t>
      </w:r>
      <w:r w:rsidR="00472521">
        <w:rPr>
          <w:rFonts w:ascii="Times New Roman" w:hAnsi="Times New Roman"/>
          <w:sz w:val="28"/>
          <w:szCs w:val="28"/>
          <w:lang w:val="ro-RO"/>
        </w:rPr>
        <w:t>e</w:t>
      </w:r>
      <w:r w:rsidR="00B955CE">
        <w:rPr>
          <w:rFonts w:ascii="Times New Roman" w:hAnsi="Times New Roman"/>
          <w:sz w:val="28"/>
          <w:szCs w:val="28"/>
          <w:lang w:val="ro-RO"/>
        </w:rPr>
        <w:t>l</w:t>
      </w:r>
      <w:r w:rsidR="00472521">
        <w:rPr>
          <w:rFonts w:ascii="Times New Roman" w:hAnsi="Times New Roman"/>
          <w:sz w:val="28"/>
          <w:szCs w:val="28"/>
          <w:lang w:val="ro-RO"/>
        </w:rPr>
        <w:t>e</w:t>
      </w:r>
      <w:r w:rsidR="00B955CE">
        <w:rPr>
          <w:rFonts w:ascii="Times New Roman" w:hAnsi="Times New Roman"/>
          <w:sz w:val="28"/>
          <w:szCs w:val="28"/>
          <w:lang w:val="ro-RO"/>
        </w:rPr>
        <w:t xml:space="preserve"> închis</w:t>
      </w:r>
      <w:r w:rsidR="00472521">
        <w:rPr>
          <w:rFonts w:ascii="Times New Roman" w:hAnsi="Times New Roman"/>
          <w:sz w:val="28"/>
          <w:szCs w:val="28"/>
          <w:lang w:val="ro-RO"/>
        </w:rPr>
        <w:t>e”</w:t>
      </w:r>
      <w:r w:rsidR="00B955CE">
        <w:rPr>
          <w:rFonts w:ascii="Times New Roman" w:hAnsi="Times New Roman"/>
          <w:sz w:val="28"/>
          <w:szCs w:val="28"/>
          <w:lang w:val="ro-RO"/>
        </w:rPr>
        <w:t xml:space="preserve"> vor fi:</w:t>
      </w:r>
    </w:p>
    <w:p w:rsidR="00B955CE" w:rsidRDefault="00B955CE" w:rsidP="008B4047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trimestrul II 2019 (S= 12681 mp)</w:t>
      </w:r>
    </w:p>
    <w:p w:rsidR="00B955CE" w:rsidRDefault="00B955CE" w:rsidP="008B4047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Punct</w:t>
            </w:r>
          </w:p>
        </w:tc>
        <w:tc>
          <w:tcPr>
            <w:tcW w:w="2053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X</w:t>
            </w:r>
          </w:p>
        </w:tc>
        <w:tc>
          <w:tcPr>
            <w:tcW w:w="2280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Y</w:t>
            </w:r>
          </w:p>
        </w:tc>
      </w:tr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053" w:type="dxa"/>
          </w:tcPr>
          <w:p w:rsidR="00B955CE" w:rsidRPr="0044279E" w:rsidRDefault="00B955CE" w:rsidP="00B955CE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620704</w:t>
            </w:r>
          </w:p>
        </w:tc>
        <w:tc>
          <w:tcPr>
            <w:tcW w:w="2280" w:type="dxa"/>
          </w:tcPr>
          <w:p w:rsidR="00B955CE" w:rsidRPr="0044279E" w:rsidRDefault="00B955CE" w:rsidP="00B955CE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27266</w:t>
            </w:r>
          </w:p>
        </w:tc>
      </w:tr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053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620761</w:t>
            </w:r>
          </w:p>
        </w:tc>
        <w:tc>
          <w:tcPr>
            <w:tcW w:w="2280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27184</w:t>
            </w:r>
          </w:p>
        </w:tc>
      </w:tr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620644</w:t>
            </w:r>
          </w:p>
        </w:tc>
        <w:tc>
          <w:tcPr>
            <w:tcW w:w="2280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27202</w:t>
            </w:r>
          </w:p>
        </w:tc>
      </w:tr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053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620552</w:t>
            </w:r>
          </w:p>
        </w:tc>
        <w:tc>
          <w:tcPr>
            <w:tcW w:w="2280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27228</w:t>
            </w:r>
          </w:p>
        </w:tc>
      </w:tr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053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620565</w:t>
            </w:r>
          </w:p>
        </w:tc>
        <w:tc>
          <w:tcPr>
            <w:tcW w:w="2280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27295</w:t>
            </w:r>
          </w:p>
        </w:tc>
      </w:tr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620646</w:t>
            </w:r>
          </w:p>
        </w:tc>
        <w:tc>
          <w:tcPr>
            <w:tcW w:w="2280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27276</w:t>
            </w:r>
          </w:p>
        </w:tc>
      </w:tr>
    </w:tbl>
    <w:p w:rsidR="00EA21B5" w:rsidRDefault="008B4047" w:rsidP="008B4047">
      <w:pPr>
        <w:pStyle w:val="BodyText"/>
        <w:spacing w:after="0" w:line="240" w:lineRule="auto"/>
        <w:jc w:val="both"/>
        <w:rPr>
          <w:lang w:val="ro-RO"/>
        </w:rPr>
      </w:pPr>
      <w:r w:rsidRPr="008B404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8B4047">
        <w:rPr>
          <w:lang w:val="ro-RO"/>
        </w:rPr>
        <w:t xml:space="preserve">  </w:t>
      </w:r>
    </w:p>
    <w:p w:rsidR="00B955CE" w:rsidRDefault="00B955CE" w:rsidP="008B4047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trimestrul III 2019 (S= 12088 mp)</w:t>
      </w:r>
    </w:p>
    <w:p w:rsidR="00B955CE" w:rsidRDefault="00B955CE" w:rsidP="008B4047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Punct</w:t>
            </w:r>
          </w:p>
        </w:tc>
        <w:tc>
          <w:tcPr>
            <w:tcW w:w="2053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X</w:t>
            </w:r>
          </w:p>
        </w:tc>
        <w:tc>
          <w:tcPr>
            <w:tcW w:w="2280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Y</w:t>
            </w:r>
          </w:p>
        </w:tc>
      </w:tr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621331</w:t>
            </w:r>
          </w:p>
        </w:tc>
        <w:tc>
          <w:tcPr>
            <w:tcW w:w="2280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27094</w:t>
            </w:r>
          </w:p>
        </w:tc>
      </w:tr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621229</w:t>
            </w:r>
          </w:p>
        </w:tc>
        <w:tc>
          <w:tcPr>
            <w:tcW w:w="2280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27184</w:t>
            </w:r>
          </w:p>
        </w:tc>
      </w:tr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053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621138</w:t>
            </w:r>
          </w:p>
        </w:tc>
        <w:tc>
          <w:tcPr>
            <w:tcW w:w="2280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627198</w:t>
            </w:r>
          </w:p>
        </w:tc>
      </w:tr>
      <w:tr w:rsidR="00B955CE" w:rsidRPr="0044279E" w:rsidTr="001D04C4">
        <w:tc>
          <w:tcPr>
            <w:tcW w:w="1187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053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621094</w:t>
            </w:r>
          </w:p>
        </w:tc>
        <w:tc>
          <w:tcPr>
            <w:tcW w:w="2280" w:type="dxa"/>
          </w:tcPr>
          <w:p w:rsidR="00B955CE" w:rsidRPr="0044279E" w:rsidRDefault="00B955CE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627131</w:t>
            </w:r>
          </w:p>
        </w:tc>
      </w:tr>
    </w:tbl>
    <w:p w:rsidR="00B955CE" w:rsidRDefault="00B955CE" w:rsidP="008B4047">
      <w:pPr>
        <w:pStyle w:val="BodyText"/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               </w:t>
      </w:r>
    </w:p>
    <w:p w:rsidR="00B955CE" w:rsidRPr="00B955CE" w:rsidRDefault="00B955CE" w:rsidP="008B4047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Amenajarea celor 2 ”bazine închise” se va realiza cu berme de siguranță</w:t>
      </w:r>
      <w:r w:rsidR="00046020">
        <w:rPr>
          <w:rFonts w:ascii="Times New Roman" w:hAnsi="Times New Roman"/>
          <w:sz w:val="28"/>
          <w:szCs w:val="28"/>
          <w:lang w:val="ro-RO"/>
        </w:rPr>
        <w:t xml:space="preserve"> cu lățimea de 5 m. Întrucât diferența de nivel a cotei bermei de siguranță față de cota luciului de apă este de 1 m, bermele se vor supraînălța cu 0,5 m.</w:t>
      </w:r>
    </w:p>
    <w:p w:rsidR="00046020" w:rsidRDefault="00857549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ro-RO"/>
        </w:rPr>
        <w:t xml:space="preserve">                      </w:t>
      </w:r>
      <w:r w:rsidRPr="00F72273">
        <w:rPr>
          <w:rFonts w:ascii="Times New Roman" w:hAnsi="Times New Roman"/>
          <w:sz w:val="28"/>
          <w:szCs w:val="28"/>
        </w:rPr>
        <w:t xml:space="preserve">Extracția agregatelor minerale </w:t>
      </w:r>
      <w:r w:rsidR="00B955CE">
        <w:rPr>
          <w:rFonts w:ascii="Times New Roman" w:hAnsi="Times New Roman"/>
          <w:sz w:val="28"/>
          <w:szCs w:val="28"/>
        </w:rPr>
        <w:t xml:space="preserve">în perioada de restricție (în cele 2 ”bazine închise”) </w:t>
      </w:r>
      <w:r w:rsidRPr="00F72273">
        <w:rPr>
          <w:rFonts w:ascii="Times New Roman" w:hAnsi="Times New Roman"/>
          <w:sz w:val="28"/>
          <w:szCs w:val="28"/>
        </w:rPr>
        <w:t xml:space="preserve">se va </w:t>
      </w:r>
      <w:r w:rsidR="00046020">
        <w:rPr>
          <w:rFonts w:ascii="Times New Roman" w:hAnsi="Times New Roman"/>
          <w:sz w:val="28"/>
          <w:szCs w:val="28"/>
        </w:rPr>
        <w:t>realiz</w:t>
      </w:r>
      <w:r w:rsidR="0030481A">
        <w:rPr>
          <w:rFonts w:ascii="Times New Roman" w:hAnsi="Times New Roman"/>
          <w:sz w:val="28"/>
          <w:szCs w:val="28"/>
        </w:rPr>
        <w:t>a</w:t>
      </w:r>
      <w:r w:rsidR="00046020">
        <w:rPr>
          <w:rFonts w:ascii="Times New Roman" w:hAnsi="Times New Roman"/>
          <w:sz w:val="28"/>
          <w:szCs w:val="28"/>
        </w:rPr>
        <w:t xml:space="preserve"> la</w:t>
      </w:r>
      <w:r w:rsidR="0030481A">
        <w:rPr>
          <w:rFonts w:ascii="Times New Roman" w:hAnsi="Times New Roman"/>
          <w:sz w:val="28"/>
          <w:szCs w:val="28"/>
        </w:rPr>
        <w:t xml:space="preserve"> partea superioară a perimetrului prin </w:t>
      </w:r>
      <w:r w:rsidR="00C8296B">
        <w:rPr>
          <w:rFonts w:ascii="Times New Roman" w:hAnsi="Times New Roman"/>
          <w:sz w:val="28"/>
          <w:szCs w:val="28"/>
        </w:rPr>
        <w:t>răzuirea stratului de balast cu lama buldozerului în fâșii consecutive de 10 – 15 cm, urmată de exploatarea cu excavatorul. Exploatarea se va realiz</w:t>
      </w:r>
      <w:r w:rsidR="00C34E8C">
        <w:rPr>
          <w:rFonts w:ascii="Times New Roman" w:hAnsi="Times New Roman"/>
          <w:sz w:val="28"/>
          <w:szCs w:val="28"/>
        </w:rPr>
        <w:t>a</w:t>
      </w:r>
      <w:r w:rsidR="00C8296B">
        <w:rPr>
          <w:rFonts w:ascii="Times New Roman" w:hAnsi="Times New Roman"/>
          <w:sz w:val="28"/>
          <w:szCs w:val="28"/>
        </w:rPr>
        <w:t xml:space="preserve"> din aval spre amonte și de la extr</w:t>
      </w:r>
      <w:r w:rsidR="005A601C">
        <w:rPr>
          <w:rFonts w:ascii="Times New Roman" w:hAnsi="Times New Roman"/>
          <w:sz w:val="28"/>
          <w:szCs w:val="28"/>
        </w:rPr>
        <w:t>e</w:t>
      </w:r>
      <w:r w:rsidR="00C8296B">
        <w:rPr>
          <w:rFonts w:ascii="Times New Roman" w:hAnsi="Times New Roman"/>
          <w:sz w:val="28"/>
          <w:szCs w:val="28"/>
        </w:rPr>
        <w:t>mitatea perimetrului spre berma de siguranță. Se va realiz</w:t>
      </w:r>
      <w:r w:rsidR="005A601C">
        <w:rPr>
          <w:rFonts w:ascii="Times New Roman" w:hAnsi="Times New Roman"/>
          <w:sz w:val="28"/>
          <w:szCs w:val="28"/>
        </w:rPr>
        <w:t>a</w:t>
      </w:r>
      <w:r w:rsidR="00C8296B">
        <w:rPr>
          <w:rFonts w:ascii="Times New Roman" w:hAnsi="Times New Roman"/>
          <w:sz w:val="28"/>
          <w:szCs w:val="28"/>
        </w:rPr>
        <w:t xml:space="preserve"> o pantă de 7 – 10 ‰</w:t>
      </w:r>
      <w:r w:rsidR="005A601C">
        <w:rPr>
          <w:rFonts w:ascii="Times New Roman" w:hAnsi="Times New Roman"/>
          <w:sz w:val="28"/>
          <w:szCs w:val="28"/>
        </w:rPr>
        <w:t xml:space="preserve"> </w:t>
      </w:r>
      <w:r w:rsidR="00DE672D">
        <w:rPr>
          <w:rFonts w:ascii="Times New Roman" w:hAnsi="Times New Roman"/>
          <w:sz w:val="28"/>
          <w:szCs w:val="28"/>
        </w:rPr>
        <w:t>perpendicular cu direcția de curgere a râului</w:t>
      </w:r>
      <w:r w:rsidR="00472521">
        <w:rPr>
          <w:rFonts w:ascii="Times New Roman" w:hAnsi="Times New Roman"/>
          <w:sz w:val="28"/>
          <w:szCs w:val="28"/>
        </w:rPr>
        <w:t>.</w:t>
      </w:r>
      <w:r w:rsidR="00046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79B" w:rsidRDefault="0029279B" w:rsidP="0029279B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 –</w:t>
      </w:r>
    </w:p>
    <w:p w:rsidR="0029279B" w:rsidRPr="0029279B" w:rsidRDefault="0029279B" w:rsidP="0029279B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81B" w:rsidRDefault="00C34E8C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E</w:t>
      </w:r>
      <w:r w:rsidRPr="00F72273">
        <w:rPr>
          <w:rFonts w:ascii="Times New Roman" w:hAnsi="Times New Roman"/>
          <w:sz w:val="28"/>
          <w:szCs w:val="28"/>
        </w:rPr>
        <w:t xml:space="preserve">xtracția agregatelor minerale </w:t>
      </w:r>
      <w:r>
        <w:rPr>
          <w:rFonts w:ascii="Times New Roman" w:hAnsi="Times New Roman"/>
          <w:sz w:val="28"/>
          <w:szCs w:val="28"/>
        </w:rPr>
        <w:t>în afara perioadei de restricție va fi de tip șenal, în restul perimetrului, inclusiv</w:t>
      </w:r>
      <w:r w:rsidR="007A681B">
        <w:rPr>
          <w:rFonts w:ascii="Times New Roman" w:hAnsi="Times New Roman"/>
          <w:sz w:val="28"/>
          <w:szCs w:val="28"/>
        </w:rPr>
        <w:t xml:space="preserve"> cu</w:t>
      </w:r>
      <w:r>
        <w:rPr>
          <w:rFonts w:ascii="Times New Roman" w:hAnsi="Times New Roman"/>
          <w:sz w:val="28"/>
          <w:szCs w:val="28"/>
        </w:rPr>
        <w:t xml:space="preserve"> eliminarea bermei de siguranță.  </w:t>
      </w:r>
    </w:p>
    <w:p w:rsidR="007A681B" w:rsidRDefault="007A681B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E</w:t>
      </w:r>
      <w:r w:rsidR="00C34E8C">
        <w:rPr>
          <w:rFonts w:ascii="Times New Roman" w:hAnsi="Times New Roman"/>
          <w:sz w:val="28"/>
          <w:szCs w:val="28"/>
        </w:rPr>
        <w:t xml:space="preserve">xploatarea se va realiza în fâșii longitudinale, succesive, și paralele pe </w:t>
      </w:r>
    </w:p>
    <w:p w:rsidR="00857549" w:rsidRDefault="00C34E8C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întreg perimetrul, racordând bazinul închis la cursul de apă</w:t>
      </w:r>
      <w:r w:rsidR="007A681B">
        <w:rPr>
          <w:rFonts w:ascii="Times New Roman" w:hAnsi="Times New Roman"/>
          <w:sz w:val="28"/>
          <w:szCs w:val="28"/>
        </w:rPr>
        <w:t>; se vor menține, pe întreaga suprafață a perimetrului</w:t>
      </w:r>
      <w:r w:rsidR="0029279B">
        <w:rPr>
          <w:rFonts w:ascii="Times New Roman" w:hAnsi="Times New Roman"/>
          <w:sz w:val="28"/>
          <w:szCs w:val="28"/>
        </w:rPr>
        <w:t>,</w:t>
      </w:r>
      <w:r w:rsidR="007A681B">
        <w:rPr>
          <w:rFonts w:ascii="Times New Roman" w:hAnsi="Times New Roman"/>
          <w:sz w:val="28"/>
          <w:szCs w:val="28"/>
        </w:rPr>
        <w:t xml:space="preserve"> adâncimea maximă de exploatare de 2,65 m și cea medie de 1,52 m, fără a coborî sub cota talvegului natural al râului; materialul rezultat va fi</w:t>
      </w:r>
      <w:r w:rsidR="00857549" w:rsidRPr="00F72273">
        <w:rPr>
          <w:rFonts w:ascii="Times New Roman" w:hAnsi="Times New Roman"/>
          <w:sz w:val="28"/>
          <w:szCs w:val="28"/>
        </w:rPr>
        <w:t xml:space="preserve"> transportat la stația de sortare agregate minerale a SC </w:t>
      </w:r>
      <w:r w:rsidR="007A681B">
        <w:rPr>
          <w:rFonts w:ascii="Times New Roman" w:hAnsi="Times New Roman"/>
          <w:sz w:val="28"/>
          <w:szCs w:val="28"/>
        </w:rPr>
        <w:t>CAIUS</w:t>
      </w:r>
      <w:r w:rsidR="00857549" w:rsidRPr="00F72273">
        <w:rPr>
          <w:rFonts w:ascii="Times New Roman" w:hAnsi="Times New Roman"/>
          <w:sz w:val="28"/>
          <w:szCs w:val="28"/>
        </w:rPr>
        <w:t xml:space="preserve"> SRL</w:t>
      </w:r>
      <w:r w:rsidR="00F52BD7">
        <w:rPr>
          <w:rFonts w:ascii="Times New Roman" w:hAnsi="Times New Roman"/>
          <w:sz w:val="28"/>
          <w:szCs w:val="28"/>
        </w:rPr>
        <w:t xml:space="preserve"> sau la alți beneficiari.</w:t>
      </w:r>
    </w:p>
    <w:p w:rsidR="007A681B" w:rsidRDefault="007A681B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Pilieri de siguranță:</w:t>
      </w:r>
    </w:p>
    <w:p w:rsidR="007A681B" w:rsidRDefault="007A681B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față de mal stâng – 70 m;</w:t>
      </w:r>
    </w:p>
    <w:p w:rsidR="007A681B" w:rsidRDefault="007A681B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față de mal drept – 100 m;</w:t>
      </w:r>
    </w:p>
    <w:p w:rsidR="007A681B" w:rsidRDefault="007A681B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față de podul din amonte – 2050 m.</w:t>
      </w:r>
    </w:p>
    <w:p w:rsidR="00B86939" w:rsidRDefault="00857549" w:rsidP="00857549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7461">
        <w:rPr>
          <w:sz w:val="28"/>
          <w:szCs w:val="28"/>
        </w:rPr>
        <w:t xml:space="preserve">     </w:t>
      </w:r>
      <w:r w:rsidR="007A681B">
        <w:rPr>
          <w:sz w:val="28"/>
          <w:szCs w:val="28"/>
        </w:rPr>
        <w:t xml:space="preserve"> </w:t>
      </w:r>
      <w:r w:rsidRPr="004A7461">
        <w:rPr>
          <w:sz w:val="28"/>
          <w:szCs w:val="28"/>
        </w:rPr>
        <w:t xml:space="preserve">Accesul în perimetrul de exploatare se va face </w:t>
      </w:r>
      <w:r w:rsidR="00F52BD7">
        <w:rPr>
          <w:sz w:val="28"/>
          <w:szCs w:val="28"/>
        </w:rPr>
        <w:t xml:space="preserve">din </w:t>
      </w:r>
      <w:r w:rsidR="00B86939">
        <w:rPr>
          <w:sz w:val="28"/>
          <w:szCs w:val="28"/>
        </w:rPr>
        <w:t xml:space="preserve">drumul județean </w:t>
      </w:r>
      <w:r w:rsidR="00F52BD7">
        <w:rPr>
          <w:sz w:val="28"/>
          <w:szCs w:val="28"/>
        </w:rPr>
        <w:t>D</w:t>
      </w:r>
      <w:r w:rsidR="00B86939">
        <w:rPr>
          <w:sz w:val="28"/>
          <w:szCs w:val="28"/>
        </w:rPr>
        <w:t>J 208G Tupilați – Hanul Ancuței</w:t>
      </w:r>
      <w:r w:rsidR="00F52BD7">
        <w:rPr>
          <w:sz w:val="28"/>
          <w:szCs w:val="28"/>
        </w:rPr>
        <w:t>,</w:t>
      </w:r>
      <w:r w:rsidR="00B86939">
        <w:rPr>
          <w:sz w:val="28"/>
          <w:szCs w:val="28"/>
        </w:rPr>
        <w:t xml:space="preserve"> cu trecere prin stația de sortare, apoi pe un drum de exploatare pe malul stâng a râului, situat în extravilanul localității Tupilați.</w:t>
      </w:r>
    </w:p>
    <w:p w:rsidR="00B86939" w:rsidRDefault="00B86939" w:rsidP="00857549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Pentru traversarea râului Moldova, se vor amenaja următoarele căi de acces:</w:t>
      </w:r>
    </w:p>
    <w:p w:rsidR="00B86939" w:rsidRDefault="00B86939" w:rsidP="00857549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o cale de acces în afara perimetrului, din tuburi PREMO D=1000 mm, L=4 m, S= 500 mp;</w:t>
      </w:r>
    </w:p>
    <w:p w:rsidR="00B86939" w:rsidRDefault="00B86939" w:rsidP="00857549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două căi de acces în interiorul perimetrului din tuburi PREMO D=1000 m, L= 4 m.</w:t>
      </w:r>
    </w:p>
    <w:p w:rsidR="004A25AB" w:rsidRDefault="00B86939" w:rsidP="00857549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Tuburile vor fi montate la cota talvegului și încastrate în balast, de o parte și de alta fiind realizate rampe de acces</w:t>
      </w:r>
      <w:r w:rsidR="003B44A9">
        <w:rPr>
          <w:sz w:val="28"/>
          <w:szCs w:val="28"/>
        </w:rPr>
        <w:t xml:space="preserve"> din balast; la debite medii și mari cât și la finalizarea exploatării agregatelor minerale aceste tuburi vor fi scoase din albie. Drumul de exploatare va fi întreținut în permanență </w:t>
      </w:r>
      <w:r w:rsidR="004A25AB">
        <w:rPr>
          <w:sz w:val="28"/>
          <w:szCs w:val="28"/>
        </w:rPr>
        <w:t xml:space="preserve">de beneficiar.            </w:t>
      </w:r>
    </w:p>
    <w:p w:rsidR="0044279E" w:rsidRPr="0044279E" w:rsidRDefault="00857549" w:rsidP="004A25AB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Beneficiarul va borna perimetrul de exploatare cu borne din beton, cu înălțimea de 1,5 m, vopsite la capăt.</w:t>
      </w:r>
      <w:r w:rsidRPr="004A7461">
        <w:rPr>
          <w:sz w:val="28"/>
          <w:szCs w:val="28"/>
        </w:rPr>
        <w:t xml:space="preserve">       </w:t>
      </w:r>
    </w:p>
    <w:p w:rsidR="00CA57A3" w:rsidRDefault="00CA57A3" w:rsidP="0044279E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  <w:lang w:val="ro-RO"/>
        </w:rPr>
        <w:t xml:space="preserve"> </w:t>
      </w:r>
      <w:r w:rsidR="0044279E">
        <w:rPr>
          <w:rFonts w:ascii="Times New Roman" w:hAnsi="Times New Roman"/>
          <w:b w:val="0"/>
          <w:sz w:val="28"/>
          <w:lang w:val="ro-RO"/>
        </w:rPr>
        <w:t xml:space="preserve">            </w:t>
      </w:r>
      <w:r w:rsidRPr="00F84FAD">
        <w:rPr>
          <w:rFonts w:ascii="Times New Roman" w:hAnsi="Times New Roman"/>
          <w:sz w:val="28"/>
        </w:rPr>
        <w:t xml:space="preserve">b. - </w:t>
      </w:r>
      <w:r w:rsidRPr="00B01962">
        <w:rPr>
          <w:rFonts w:ascii="Times New Roman" w:hAnsi="Times New Roman"/>
          <w:sz w:val="28"/>
        </w:rPr>
        <w:t>cumularea cu alte proiecte existente şi /</w:t>
      </w:r>
      <w:r>
        <w:rPr>
          <w:rFonts w:ascii="Times New Roman" w:hAnsi="Times New Roman"/>
          <w:sz w:val="28"/>
        </w:rPr>
        <w:t>sau propuse</w:t>
      </w:r>
      <w:r w:rsidRPr="00B01962">
        <w:rPr>
          <w:rFonts w:ascii="Times New Roman" w:hAnsi="Times New Roman"/>
          <w:sz w:val="28"/>
        </w:rPr>
        <w:t xml:space="preserve"> </w:t>
      </w:r>
    </w:p>
    <w:p w:rsidR="00CA57A3" w:rsidRDefault="0044279E" w:rsidP="0044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În zonă, în albia râului </w:t>
      </w:r>
      <w:r w:rsidR="004A25AB">
        <w:rPr>
          <w:rFonts w:ascii="Times New Roman" w:hAnsi="Times New Roman"/>
          <w:sz w:val="28"/>
          <w:szCs w:val="28"/>
        </w:rPr>
        <w:t>Moldova</w:t>
      </w:r>
      <w:r>
        <w:rPr>
          <w:rFonts w:ascii="Times New Roman" w:hAnsi="Times New Roman"/>
          <w:sz w:val="28"/>
          <w:szCs w:val="28"/>
        </w:rPr>
        <w:t>, se desfășoară activități de extracție balast</w:t>
      </w:r>
      <w:r w:rsidR="00C810B6">
        <w:rPr>
          <w:rFonts w:ascii="Times New Roman" w:hAnsi="Times New Roman"/>
          <w:sz w:val="28"/>
          <w:szCs w:val="28"/>
        </w:rPr>
        <w:t xml:space="preserve"> în </w:t>
      </w:r>
      <w:r w:rsidR="004A25AB">
        <w:rPr>
          <w:rFonts w:ascii="Times New Roman" w:hAnsi="Times New Roman"/>
          <w:sz w:val="28"/>
          <w:szCs w:val="28"/>
        </w:rPr>
        <w:t xml:space="preserve">alte perimetere. Respectarea prevederilor Planului de management și al Regulamentului sitului </w:t>
      </w:r>
      <w:r w:rsidR="0029279B" w:rsidRPr="0029279B">
        <w:rPr>
          <w:rFonts w:ascii="Times New Roman" w:hAnsi="Times New Roman"/>
          <w:sz w:val="28"/>
          <w:szCs w:val="28"/>
          <w:lang w:val="ro-RO"/>
        </w:rPr>
        <w:t>ROSCI0364 ”Râul Moldova între Tupilați și Roman”</w:t>
      </w:r>
      <w:r w:rsidR="004A2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279B">
        <w:rPr>
          <w:rFonts w:ascii="Times New Roman" w:hAnsi="Times New Roman"/>
          <w:sz w:val="28"/>
          <w:szCs w:val="28"/>
        </w:rPr>
        <w:t xml:space="preserve">va fi tratată în Studiul de evaluare adecvată și </w:t>
      </w:r>
      <w:r w:rsidR="00322D2F">
        <w:rPr>
          <w:rFonts w:ascii="Times New Roman" w:hAnsi="Times New Roman"/>
          <w:sz w:val="28"/>
          <w:szCs w:val="28"/>
        </w:rPr>
        <w:t>Raportul</w:t>
      </w:r>
      <w:r w:rsidR="0029279B">
        <w:rPr>
          <w:rFonts w:ascii="Times New Roman" w:hAnsi="Times New Roman"/>
          <w:sz w:val="28"/>
          <w:szCs w:val="28"/>
        </w:rPr>
        <w:t xml:space="preserve"> </w:t>
      </w:r>
      <w:r w:rsidR="00322D2F">
        <w:rPr>
          <w:rFonts w:ascii="Times New Roman" w:hAnsi="Times New Roman"/>
          <w:sz w:val="28"/>
          <w:szCs w:val="28"/>
        </w:rPr>
        <w:t xml:space="preserve">privind </w:t>
      </w:r>
      <w:r w:rsidR="0029279B">
        <w:rPr>
          <w:rFonts w:ascii="Times New Roman" w:hAnsi="Times New Roman"/>
          <w:sz w:val="28"/>
          <w:szCs w:val="28"/>
        </w:rPr>
        <w:t>impact</w:t>
      </w:r>
      <w:r w:rsidR="00322D2F">
        <w:rPr>
          <w:rFonts w:ascii="Times New Roman" w:hAnsi="Times New Roman"/>
          <w:sz w:val="28"/>
          <w:szCs w:val="28"/>
        </w:rPr>
        <w:t>ul</w:t>
      </w:r>
      <w:r w:rsidR="0029279B">
        <w:rPr>
          <w:rFonts w:ascii="Times New Roman" w:hAnsi="Times New Roman"/>
          <w:sz w:val="28"/>
          <w:szCs w:val="28"/>
        </w:rPr>
        <w:t xml:space="preserve"> asupra mediului.</w:t>
      </w:r>
      <w:r w:rsidR="00CA57A3">
        <w:rPr>
          <w:rFonts w:ascii="Times New Roman" w:hAnsi="Times New Roman"/>
          <w:sz w:val="28"/>
          <w:szCs w:val="28"/>
        </w:rPr>
        <w:t xml:space="preserve"> </w:t>
      </w:r>
      <w:r w:rsidR="00CA57A3" w:rsidRPr="0029279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utilizarea resurselor naturale, în special a solului, a terenurilor, a apei şi a biodiversităţii</w:t>
      </w:r>
    </w:p>
    <w:p w:rsidR="0044279E" w:rsidRDefault="00CA57A3" w:rsidP="0044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4279E">
        <w:rPr>
          <w:rFonts w:ascii="Times New Roman" w:hAnsi="Times New Roman"/>
          <w:sz w:val="28"/>
          <w:szCs w:val="28"/>
        </w:rPr>
        <w:t>Activitatea constă în extragere resursă naturală (balast de râu).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cantitatea şi tipurile de deşeuri generate /gestionate: deşeuri de materiale de construcţie din reabilitări construcţii existente şi realizare construcţii noi</w:t>
      </w:r>
    </w:p>
    <w:p w:rsidR="00322D2F" w:rsidRDefault="00322D2F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D2F" w:rsidRDefault="00322D2F" w:rsidP="00322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- 4 –</w:t>
      </w:r>
    </w:p>
    <w:p w:rsidR="00322D2F" w:rsidRDefault="00322D2F" w:rsidP="00322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Din activitatea de amenajare /funcționare a activității în perimetru nu rezultă deșeuri.</w:t>
      </w:r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poluarea şi alte efecte negative</w:t>
      </w:r>
    </w:p>
    <w:p w:rsidR="0029279B" w:rsidRDefault="00E9452C" w:rsidP="0029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84FAD">
        <w:rPr>
          <w:rFonts w:ascii="Times New Roman" w:hAnsi="Times New Roman"/>
          <w:sz w:val="28"/>
          <w:szCs w:val="28"/>
        </w:rPr>
        <w:t>surse de poluare în perioada de execuţie:</w:t>
      </w:r>
      <w:r w:rsidR="0029279B">
        <w:rPr>
          <w:rFonts w:ascii="Times New Roman" w:hAnsi="Times New Roman"/>
          <w:sz w:val="28"/>
          <w:szCs w:val="28"/>
        </w:rPr>
        <w:t xml:space="preserve"> </w:t>
      </w:r>
      <w:r w:rsidR="0029279B" w:rsidRPr="005D0EB7">
        <w:rPr>
          <w:rFonts w:ascii="Times New Roman" w:hAnsi="Times New Roman"/>
          <w:color w:val="000000"/>
          <w:sz w:val="28"/>
          <w:szCs w:val="28"/>
        </w:rPr>
        <w:t>nu este</w:t>
      </w:r>
      <w:r w:rsidR="0029279B">
        <w:rPr>
          <w:rFonts w:ascii="Times New Roman" w:hAnsi="Times New Roman"/>
          <w:color w:val="000000"/>
          <w:sz w:val="28"/>
          <w:szCs w:val="28"/>
        </w:rPr>
        <w:t xml:space="preserve"> cazul</w:t>
      </w:r>
      <w:r w:rsidR="0029279B">
        <w:rPr>
          <w:rFonts w:ascii="Times New Roman" w:hAnsi="Times New Roman"/>
          <w:sz w:val="28"/>
          <w:szCs w:val="28"/>
        </w:rPr>
        <w:t>;</w:t>
      </w:r>
    </w:p>
    <w:p w:rsidR="0029279B" w:rsidRPr="00F84FAD" w:rsidRDefault="00E9452C" w:rsidP="0029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- surse de poluare în perioada de funcţionare: </w:t>
      </w:r>
      <w:r w:rsidR="0029279B" w:rsidRPr="00F84FAD">
        <w:rPr>
          <w:rFonts w:ascii="Times New Roman" w:hAnsi="Times New Roman"/>
          <w:sz w:val="28"/>
          <w:szCs w:val="28"/>
        </w:rPr>
        <w:t>de la mijloacele de</w:t>
      </w:r>
      <w:r w:rsidR="0029279B">
        <w:rPr>
          <w:rFonts w:ascii="Times New Roman" w:hAnsi="Times New Roman"/>
          <w:sz w:val="28"/>
          <w:szCs w:val="28"/>
        </w:rPr>
        <w:t xml:space="preserve"> transport şi utilajele folosite.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f.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703994">
        <w:rPr>
          <w:rFonts w:ascii="Times New Roman" w:hAnsi="Times New Roman"/>
          <w:b/>
          <w:sz w:val="28"/>
          <w:szCs w:val="28"/>
        </w:rPr>
        <w:t xml:space="preserve">riscurile de accidente majore şi /sau dezastre relevante, inclusiv cele cauzate de schimbările </w:t>
      </w:r>
      <w:r>
        <w:rPr>
          <w:rFonts w:ascii="Times New Roman" w:hAnsi="Times New Roman"/>
          <w:b/>
          <w:sz w:val="28"/>
          <w:szCs w:val="28"/>
        </w:rPr>
        <w:t>climatic</w:t>
      </w:r>
      <w:r w:rsidR="0029279B">
        <w:rPr>
          <w:rFonts w:ascii="Times New Roman" w:hAnsi="Times New Roman"/>
          <w:b/>
          <w:sz w:val="28"/>
          <w:szCs w:val="28"/>
        </w:rPr>
        <w:t>e</w:t>
      </w:r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Poluare accidentală datorată defectării unui utilaj sau a unei autobasculante.</w:t>
      </w:r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g.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703994">
        <w:rPr>
          <w:rFonts w:ascii="Times New Roman" w:hAnsi="Times New Roman"/>
          <w:b/>
          <w:sz w:val="28"/>
          <w:szCs w:val="28"/>
        </w:rPr>
        <w:t>riscurile pentru sănătatea umană</w:t>
      </w:r>
    </w:p>
    <w:p w:rsidR="00E9452C" w:rsidRPr="00703994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Activitatea de extracție agregate minerale nu constituie un factor de risc pentru sănătatea umană a locuitorilor din zonă.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3) amplasarea proiectelor: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utilizarea actuală și aprobată a terenurilor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Fonts w:ascii="Times New Roman" w:hAnsi="Times New Roman"/>
          <w:sz w:val="28"/>
          <w:szCs w:val="28"/>
        </w:rPr>
        <w:t>Conform prevederilor din Certificat</w:t>
      </w:r>
      <w:r>
        <w:rPr>
          <w:rFonts w:ascii="Times New Roman" w:hAnsi="Times New Roman"/>
          <w:sz w:val="28"/>
          <w:szCs w:val="28"/>
        </w:rPr>
        <w:t>ului</w:t>
      </w:r>
      <w:r w:rsidRPr="00F84FAD">
        <w:rPr>
          <w:rFonts w:ascii="Times New Roman" w:hAnsi="Times New Roman"/>
          <w:sz w:val="28"/>
          <w:szCs w:val="28"/>
        </w:rPr>
        <w:t xml:space="preserve"> de urbanism nr. </w:t>
      </w:r>
      <w:r w:rsidR="00E9452C">
        <w:rPr>
          <w:rFonts w:ascii="Times New Roman" w:hAnsi="Times New Roman"/>
          <w:sz w:val="28"/>
          <w:szCs w:val="28"/>
        </w:rPr>
        <w:t>2</w:t>
      </w:r>
      <w:r w:rsidR="0029279B">
        <w:rPr>
          <w:rFonts w:ascii="Times New Roman" w:hAnsi="Times New Roman"/>
          <w:sz w:val="28"/>
          <w:szCs w:val="28"/>
        </w:rPr>
        <w:t>61</w:t>
      </w:r>
      <w:r w:rsidRPr="00F84FA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</w:t>
      </w:r>
      <w:r w:rsidR="0029279B">
        <w:rPr>
          <w:rFonts w:ascii="Times New Roman" w:hAnsi="Times New Roman"/>
          <w:sz w:val="28"/>
          <w:szCs w:val="28"/>
        </w:rPr>
        <w:t>8</w:t>
      </w:r>
      <w:r w:rsidRPr="00F84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9452C">
        <w:rPr>
          <w:rFonts w:ascii="Times New Roman" w:hAnsi="Times New Roman"/>
          <w:sz w:val="28"/>
          <w:szCs w:val="28"/>
        </w:rPr>
        <w:t>2</w:t>
      </w:r>
      <w:r w:rsidRPr="00F84F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84F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folosința </w:t>
      </w:r>
      <w:r w:rsidR="00322D2F">
        <w:rPr>
          <w:rFonts w:ascii="Times New Roman" w:hAnsi="Times New Roman"/>
          <w:sz w:val="28"/>
          <w:szCs w:val="28"/>
        </w:rPr>
        <w:t>actuală:</w:t>
      </w:r>
      <w:r>
        <w:rPr>
          <w:rFonts w:ascii="Times New Roman" w:hAnsi="Times New Roman"/>
          <w:sz w:val="28"/>
          <w:szCs w:val="28"/>
        </w:rPr>
        <w:t xml:space="preserve"> </w:t>
      </w:r>
      <w:r w:rsidR="0029279B">
        <w:rPr>
          <w:rFonts w:ascii="Times New Roman" w:hAnsi="Times New Roman"/>
          <w:sz w:val="28"/>
          <w:szCs w:val="28"/>
        </w:rPr>
        <w:t>albia râului Moldova)</w:t>
      </w:r>
      <w:r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bogăția, disponibilitatea, calitatea și capacitatea de regenerare relative ale resurselor naturale (inclusiv solul, terenurile, apa și biodiversitatea) din zonă și din subteranul acesteia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</w:t>
      </w:r>
      <w:r w:rsidRPr="00F84FAD">
        <w:rPr>
          <w:rFonts w:ascii="Times New Roman" w:hAnsi="Times New Roman"/>
          <w:sz w:val="28"/>
          <w:szCs w:val="28"/>
        </w:rPr>
        <w:t xml:space="preserve">ceste aspecte vor fi tratate în Raportul privind impactul asupra mediului și </w:t>
      </w:r>
      <w:r>
        <w:rPr>
          <w:rFonts w:ascii="Times New Roman" w:hAnsi="Times New Roman"/>
          <w:sz w:val="28"/>
          <w:szCs w:val="28"/>
        </w:rPr>
        <w:t>Studiul de evaluare adecvată</w:t>
      </w:r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capacitatea de absorbție a mediului natural, acordându-se o atenție specială următoarelor zone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>i. - zone umede, zone riverane, guri ale râurilor: lucrările propuse prin proiect se desfășoară în</w:t>
      </w:r>
      <w:r>
        <w:rPr>
          <w:rFonts w:ascii="Times New Roman" w:hAnsi="Times New Roman"/>
          <w:sz w:val="28"/>
          <w:szCs w:val="28"/>
        </w:rPr>
        <w:t xml:space="preserve"> </w:t>
      </w:r>
      <w:r w:rsidR="00E9452C">
        <w:rPr>
          <w:rFonts w:ascii="Times New Roman" w:hAnsi="Times New Roman"/>
          <w:sz w:val="28"/>
          <w:szCs w:val="28"/>
        </w:rPr>
        <w:t>albia minoră a</w:t>
      </w:r>
      <w:r>
        <w:rPr>
          <w:rFonts w:ascii="Times New Roman" w:hAnsi="Times New Roman"/>
          <w:sz w:val="28"/>
          <w:szCs w:val="28"/>
        </w:rPr>
        <w:t xml:space="preserve"> râului </w:t>
      </w:r>
      <w:r w:rsidR="00322D2F">
        <w:rPr>
          <w:rFonts w:ascii="Times New Roman" w:hAnsi="Times New Roman"/>
          <w:sz w:val="28"/>
          <w:szCs w:val="28"/>
        </w:rPr>
        <w:t>Moldova</w:t>
      </w:r>
      <w:r>
        <w:rPr>
          <w:rFonts w:ascii="Times New Roman" w:hAnsi="Times New Roman"/>
          <w:sz w:val="28"/>
          <w:szCs w:val="28"/>
        </w:rPr>
        <w:t>;</w:t>
      </w:r>
      <w:r w:rsidRPr="00F84FAD">
        <w:rPr>
          <w:rFonts w:ascii="Times New Roman" w:hAnsi="Times New Roman"/>
          <w:sz w:val="28"/>
          <w:szCs w:val="28"/>
        </w:rPr>
        <w:t xml:space="preserve"> acest</w:t>
      </w:r>
      <w:r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aspect</w:t>
      </w:r>
      <w:r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or</w:t>
      </w:r>
      <w:r w:rsidRPr="00F84FAD">
        <w:rPr>
          <w:rFonts w:ascii="Times New Roman" w:hAnsi="Times New Roman"/>
          <w:sz w:val="28"/>
          <w:szCs w:val="28"/>
        </w:rPr>
        <w:t xml:space="preserve"> fi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tratate în Raportul privind impactul asupra mediului și </w:t>
      </w:r>
      <w:r>
        <w:rPr>
          <w:rFonts w:ascii="Times New Roman" w:hAnsi="Times New Roman"/>
          <w:sz w:val="28"/>
          <w:szCs w:val="28"/>
        </w:rPr>
        <w:t>Studiul de evaluare adecvată</w:t>
      </w:r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</w:rPr>
        <w:t xml:space="preserve">ii. – </w:t>
      </w:r>
      <w:r w:rsidRPr="00F84FAD">
        <w:rPr>
          <w:rFonts w:ascii="Times New Roman" w:hAnsi="Times New Roman"/>
          <w:sz w:val="28"/>
          <w:szCs w:val="28"/>
          <w:lang w:val="ro-RO"/>
        </w:rPr>
        <w:t>zone costiere şi mediul marin: nu este cazul.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iv. – arii naturale protejate de interes naţional, comunitar, internaţional:  </w:t>
      </w:r>
    </w:p>
    <w:p w:rsidR="00CA57A3" w:rsidRPr="00F84FAD" w:rsidRDefault="00CA57A3" w:rsidP="00FA07BA">
      <w:pPr>
        <w:pStyle w:val="CaracterCaracter1"/>
        <w:jc w:val="both"/>
        <w:rPr>
          <w:sz w:val="28"/>
          <w:szCs w:val="28"/>
          <w:lang w:val="ro-RO"/>
        </w:rPr>
      </w:pPr>
      <w:r w:rsidRPr="00F84FAD">
        <w:rPr>
          <w:sz w:val="28"/>
          <w:szCs w:val="28"/>
          <w:lang w:val="ro-RO"/>
        </w:rPr>
        <w:t>- ROS</w:t>
      </w:r>
      <w:r w:rsidR="00322D2F">
        <w:rPr>
          <w:sz w:val="28"/>
          <w:szCs w:val="28"/>
          <w:lang w:val="ro-RO"/>
        </w:rPr>
        <w:t>CI0364</w:t>
      </w:r>
      <w:r w:rsidRPr="00F84FAD">
        <w:rPr>
          <w:sz w:val="28"/>
          <w:szCs w:val="28"/>
          <w:lang w:val="ro-RO"/>
        </w:rPr>
        <w:t xml:space="preserve"> – </w:t>
      </w:r>
      <w:r w:rsidR="00322D2F">
        <w:rPr>
          <w:sz w:val="28"/>
          <w:szCs w:val="28"/>
          <w:lang w:val="ro-RO"/>
        </w:rPr>
        <w:t>Râul Moldova între Tupilați și Roman</w:t>
      </w:r>
      <w:r w:rsidR="00FA07BA">
        <w:rPr>
          <w:sz w:val="28"/>
          <w:szCs w:val="28"/>
          <w:lang w:val="ro-RO"/>
        </w:rPr>
        <w:t xml:space="preserve"> </w:t>
      </w:r>
      <w:r w:rsidRPr="00F84FAD">
        <w:rPr>
          <w:sz w:val="28"/>
          <w:szCs w:val="28"/>
          <w:lang w:val="ro-RO"/>
        </w:rPr>
        <w:t xml:space="preserve">(declarată prin </w:t>
      </w:r>
      <w:r w:rsidR="00322D2F">
        <w:rPr>
          <w:sz w:val="28"/>
          <w:szCs w:val="28"/>
          <w:lang w:val="ro-RO"/>
        </w:rPr>
        <w:t>Ordinul M.M.D.D.</w:t>
      </w:r>
      <w:r w:rsidR="00CA0A46">
        <w:rPr>
          <w:sz w:val="28"/>
          <w:szCs w:val="28"/>
          <w:lang w:val="ro-RO"/>
        </w:rPr>
        <w:t xml:space="preserve"> nr. </w:t>
      </w:r>
      <w:r w:rsidR="00322D2F">
        <w:rPr>
          <w:sz w:val="28"/>
          <w:szCs w:val="28"/>
          <w:lang w:val="ro-RO"/>
        </w:rPr>
        <w:t xml:space="preserve">1964 </w:t>
      </w:r>
      <w:r w:rsidR="00CA0A46">
        <w:rPr>
          <w:sz w:val="28"/>
          <w:szCs w:val="28"/>
          <w:lang w:val="ro-RO"/>
        </w:rPr>
        <w:t>/20</w:t>
      </w:r>
      <w:r w:rsidR="00322D2F">
        <w:rPr>
          <w:sz w:val="28"/>
          <w:szCs w:val="28"/>
          <w:lang w:val="ro-RO"/>
        </w:rPr>
        <w:t>07</w:t>
      </w:r>
      <w:r w:rsidR="00A30FDA">
        <w:rPr>
          <w:sz w:val="28"/>
          <w:szCs w:val="28"/>
          <w:lang w:val="ro-RO"/>
        </w:rPr>
        <w:t>, cu modificările și completările ulterioare,</w:t>
      </w:r>
      <w:r w:rsidR="00CA0A46">
        <w:rPr>
          <w:sz w:val="28"/>
          <w:szCs w:val="28"/>
          <w:lang w:val="ro-RO"/>
        </w:rPr>
        <w:t xml:space="preserve"> </w:t>
      </w:r>
      <w:r w:rsidR="00322D2F">
        <w:rPr>
          <w:sz w:val="28"/>
          <w:szCs w:val="28"/>
          <w:lang w:val="ro-RO"/>
        </w:rPr>
        <w:t xml:space="preserve">arie naturală protejată </w:t>
      </w:r>
      <w:r w:rsidR="00CA0A46">
        <w:rPr>
          <w:sz w:val="28"/>
          <w:szCs w:val="28"/>
          <w:lang w:val="ro-RO"/>
        </w:rPr>
        <w:t>ca parte integrantă a rețelei</w:t>
      </w:r>
      <w:r w:rsidR="00FA07BA">
        <w:rPr>
          <w:sz w:val="28"/>
          <w:szCs w:val="28"/>
          <w:lang w:val="ro-RO"/>
        </w:rPr>
        <w:t xml:space="preserve"> </w:t>
      </w:r>
      <w:r w:rsidR="00CA0A46">
        <w:rPr>
          <w:sz w:val="28"/>
          <w:szCs w:val="28"/>
          <w:lang w:val="ro-RO"/>
        </w:rPr>
        <w:t xml:space="preserve"> ecologice europene Natura 2000 în România</w:t>
      </w:r>
      <w:r w:rsidRPr="00F84FAD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v. – zone clasificate sau protejate conform legislaţiei în vigoare: situl Natura 2000 menţionat la punctul iv. nu </w:t>
      </w:r>
      <w:r>
        <w:rPr>
          <w:rFonts w:ascii="Times New Roman" w:hAnsi="Times New Roman"/>
          <w:sz w:val="28"/>
          <w:szCs w:val="28"/>
          <w:lang w:val="ro-RO"/>
        </w:rPr>
        <w:t>este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inclus în Legea nr. 5 /2000 privind aprobarea Planului de amenajare a teritoriului naţional – Secţiunea a III – a – zone protejate.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vi. – zonele în care au existat deja cazuri de nerespectare a standardelor de calitate a mediului prevăzute de legislaţia naţională şi la nivelul Uniunii Europene: nu sunt.</w:t>
      </w:r>
    </w:p>
    <w:p w:rsidR="00A30FDA" w:rsidRDefault="00A30FDA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30FDA" w:rsidRDefault="00A30FDA" w:rsidP="00A3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- 5 –</w:t>
      </w:r>
    </w:p>
    <w:p w:rsidR="00A30FDA" w:rsidRPr="00A30FDA" w:rsidRDefault="00A30FDA" w:rsidP="00A3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A57A3" w:rsidRDefault="00CA57A3" w:rsidP="00CA57A3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vii. – zonele cu o densitate mare a populaţiei: </w:t>
      </w:r>
      <w:r>
        <w:rPr>
          <w:rFonts w:ascii="Times New Roman" w:hAnsi="Times New Roman"/>
          <w:sz w:val="28"/>
          <w:szCs w:val="28"/>
          <w:lang w:val="ro-RO"/>
        </w:rPr>
        <w:t xml:space="preserve">zona locuită este situată la aproximativ </w:t>
      </w:r>
      <w:r w:rsidR="00FA07BA">
        <w:rPr>
          <w:rFonts w:ascii="Times New Roman" w:hAnsi="Times New Roman"/>
          <w:sz w:val="28"/>
          <w:szCs w:val="28"/>
          <w:lang w:val="ro-RO"/>
        </w:rPr>
        <w:t>200</w:t>
      </w:r>
      <w:r>
        <w:rPr>
          <w:rFonts w:ascii="Times New Roman" w:hAnsi="Times New Roman"/>
          <w:sz w:val="28"/>
          <w:szCs w:val="28"/>
          <w:lang w:val="ro-RO"/>
        </w:rPr>
        <w:t xml:space="preserve">0 m de amplasamentul </w:t>
      </w:r>
      <w:r w:rsidR="00CA0A46">
        <w:rPr>
          <w:rFonts w:ascii="Times New Roman" w:hAnsi="Times New Roman"/>
          <w:sz w:val="28"/>
          <w:szCs w:val="28"/>
          <w:lang w:val="ro-RO"/>
        </w:rPr>
        <w:t>perimetrului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CA57A3" w:rsidRPr="00F84FAD" w:rsidRDefault="00CA57A3" w:rsidP="00CA57A3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viii. – peisaje şi situri importante din punct de vedere istoric, cultural sau arheologic: nu se cunosc date privind impactul asupra acestor categorii de situri (vor fi analizate de autoritatea judeţeană din domeniul culturii pentru emiterea avizului pentru proiect).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4) tipurile şi caracteristicile impactului potenţial: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a) </w:t>
      </w:r>
      <w:r w:rsidRPr="00F84FAD">
        <w:rPr>
          <w:rFonts w:ascii="Times New Roman" w:hAnsi="Times New Roman"/>
          <w:sz w:val="28"/>
          <w:szCs w:val="28"/>
        </w:rPr>
        <w:t xml:space="preserve">– importanţa şi extinderea spaţială a impactului: impact  redus pe timpul realizării proiectului, dacă se respectă tehnologia de lucru.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b) </w:t>
      </w:r>
      <w:r w:rsidRPr="00F84FAD">
        <w:rPr>
          <w:rFonts w:ascii="Times New Roman" w:hAnsi="Times New Roman"/>
          <w:sz w:val="28"/>
          <w:szCs w:val="28"/>
        </w:rPr>
        <w:t xml:space="preserve">– natura impactului: zgomot, praf, miros, rezultate din activitatea utilajelor şi mijloacelor auto.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c) </w:t>
      </w:r>
      <w:r w:rsidRPr="00F84FAD">
        <w:rPr>
          <w:rFonts w:ascii="Times New Roman" w:hAnsi="Times New Roman"/>
          <w:sz w:val="28"/>
          <w:szCs w:val="28"/>
        </w:rPr>
        <w:t>– natura transfrontieră a impactului: nu este cazul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d) </w:t>
      </w:r>
      <w:r w:rsidRPr="00F84FAD">
        <w:rPr>
          <w:rFonts w:ascii="Times New Roman" w:hAnsi="Times New Roman"/>
          <w:sz w:val="28"/>
          <w:szCs w:val="28"/>
        </w:rPr>
        <w:t>– intensitatea şi complexitatea impactului: se va analiza prin Studiul de impact asupra mediului.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e) </w:t>
      </w:r>
      <w:r w:rsidRPr="00F84FAD">
        <w:rPr>
          <w:rFonts w:ascii="Times New Roman" w:hAnsi="Times New Roman"/>
          <w:sz w:val="28"/>
          <w:szCs w:val="28"/>
        </w:rPr>
        <w:t>– probabilitatea impactului: se va analiza prin Studiul de impact asupra mediului.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f)</w:t>
      </w:r>
      <w:r w:rsidRPr="00F84FAD">
        <w:rPr>
          <w:rFonts w:ascii="Times New Roman" w:hAnsi="Times New Roman"/>
          <w:sz w:val="28"/>
          <w:szCs w:val="28"/>
        </w:rPr>
        <w:t xml:space="preserve"> – debutul, durata, frecvenţa şi reversibilitatea preconizate ale impactului: se vor analiza prin Studiul de impact asupra mediului.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g) </w:t>
      </w:r>
      <w:r w:rsidRPr="00F84FAD">
        <w:rPr>
          <w:rFonts w:ascii="Times New Roman" w:hAnsi="Times New Roman"/>
          <w:sz w:val="28"/>
          <w:szCs w:val="28"/>
        </w:rPr>
        <w:t xml:space="preserve">– cumularea impactului cu impactul altor proiecte existente şi sau aprobate: </w:t>
      </w:r>
    </w:p>
    <w:p w:rsidR="00CA0A46" w:rsidRDefault="00CA0A46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Prin Studiul de impact asupra mediului, se va trata și impactul cumulat cu activitățile de extracție balast desfășurate în</w:t>
      </w:r>
      <w:r w:rsidR="00FA07BA">
        <w:rPr>
          <w:rFonts w:ascii="Times New Roman" w:hAnsi="Times New Roman"/>
          <w:sz w:val="28"/>
          <w:szCs w:val="28"/>
        </w:rPr>
        <w:t xml:space="preserve"> zonă.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h)</w:t>
      </w:r>
      <w:r w:rsidRPr="00F84FAD">
        <w:rPr>
          <w:rFonts w:ascii="Times New Roman" w:hAnsi="Times New Roman"/>
          <w:sz w:val="28"/>
          <w:szCs w:val="28"/>
        </w:rPr>
        <w:t xml:space="preserve"> – posibilitatea de reducere efectivă a impactului: reducerea impactului pe timpul realizării proiectului se va stabili prin caietul de sarcini.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II. Motivele pe baza cărora s-a stabilit că este necesară efectuarea evaluării adecvate: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Conform referatului Compartimentului C.F.M din cadrul A.P.M. Neamţ întocmit în </w:t>
      </w:r>
      <w:r w:rsidR="00FA07BA">
        <w:rPr>
          <w:rFonts w:ascii="Times New Roman" w:hAnsi="Times New Roman"/>
          <w:sz w:val="28"/>
          <w:szCs w:val="28"/>
        </w:rPr>
        <w:t>09</w:t>
      </w:r>
      <w:r w:rsidRPr="00F84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F84FAD">
        <w:rPr>
          <w:rFonts w:ascii="Times New Roman" w:hAnsi="Times New Roman"/>
          <w:sz w:val="28"/>
          <w:szCs w:val="28"/>
        </w:rPr>
        <w:t>1.201</w:t>
      </w:r>
      <w:r>
        <w:rPr>
          <w:rFonts w:ascii="Times New Roman" w:hAnsi="Times New Roman"/>
          <w:sz w:val="28"/>
          <w:szCs w:val="28"/>
        </w:rPr>
        <w:t>9</w:t>
      </w:r>
      <w:r w:rsidRPr="00F84FAD">
        <w:rPr>
          <w:rFonts w:ascii="Times New Roman" w:hAnsi="Times New Roman"/>
          <w:sz w:val="28"/>
          <w:szCs w:val="28"/>
        </w:rPr>
        <w:t>:</w:t>
      </w:r>
    </w:p>
    <w:p w:rsidR="00CA57A3" w:rsidRDefault="00C4013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 xml:space="preserve">vederea obținerii acordului de mediu pentru </w:t>
      </w:r>
      <w:r w:rsidR="00FA07BA"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FA07BA">
        <w:rPr>
          <w:rFonts w:ascii="Times New Roman" w:hAnsi="Times New Roman" w:cs="Times New Roman"/>
          <w:b/>
          <w:color w:val="000000"/>
          <w:sz w:val="28"/>
          <w:szCs w:val="28"/>
        </w:rPr>
        <w:t>Proiectarea și deschiderea e</w:t>
      </w:r>
      <w:r w:rsidR="00FA07BA" w:rsidRPr="004B1185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="00FA07BA">
        <w:rPr>
          <w:rFonts w:ascii="Times New Roman" w:hAnsi="Times New Roman" w:cs="Times New Roman"/>
          <w:b/>
          <w:color w:val="000000"/>
          <w:sz w:val="28"/>
          <w:szCs w:val="28"/>
        </w:rPr>
        <w:t>ploatării agregatelor minerale din rîul Moldova, mal stâng, perimetrul Tupilați”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vă comunic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>ăm următoarele:</w:t>
      </w:r>
    </w:p>
    <w:p w:rsidR="00CA57A3" w:rsidRPr="00FA07BA" w:rsidRDefault="00FA07BA" w:rsidP="00FA07BA">
      <w:p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1. </w:t>
      </w:r>
      <w:r w:rsidR="00CA57A3" w:rsidRPr="00FA07BA">
        <w:rPr>
          <w:rFonts w:ascii="Times New Roman" w:hAnsi="Times New Roman"/>
          <w:sz w:val="28"/>
          <w:szCs w:val="28"/>
          <w:lang w:val="ro-RO"/>
        </w:rPr>
        <w:t xml:space="preserve">Proiectul se suprapune cu </w:t>
      </w:r>
      <w:r w:rsidR="00C4013F" w:rsidRPr="00FA07BA">
        <w:rPr>
          <w:rFonts w:ascii="Times New Roman" w:hAnsi="Times New Roman"/>
          <w:sz w:val="28"/>
          <w:szCs w:val="28"/>
          <w:lang w:val="ro-RO"/>
        </w:rPr>
        <w:t>ROS</w:t>
      </w:r>
      <w:r w:rsidRPr="00FA07BA">
        <w:rPr>
          <w:rFonts w:ascii="Times New Roman" w:hAnsi="Times New Roman"/>
          <w:sz w:val="28"/>
          <w:szCs w:val="28"/>
          <w:lang w:val="ro-RO"/>
        </w:rPr>
        <w:t>CI0364 – Râul Moldova între Tupilați și Roman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CA57A3" w:rsidRPr="00290F35" w:rsidRDefault="00CA57A3" w:rsidP="00CA57A3">
      <w:pPr>
        <w:spacing w:after="0" w:line="240" w:lineRule="auto"/>
        <w:jc w:val="both"/>
        <w:rPr>
          <w:rStyle w:val="tal1"/>
          <w:rFonts w:ascii="Times New Roman" w:hAnsi="Times New Roman"/>
          <w:b/>
          <w:i/>
          <w:sz w:val="28"/>
          <w:szCs w:val="28"/>
        </w:rPr>
      </w:pPr>
      <w:r>
        <w:rPr>
          <w:rStyle w:val="tal1"/>
          <w:rFonts w:ascii="Times New Roman" w:hAnsi="Times New Roman"/>
          <w:sz w:val="28"/>
          <w:szCs w:val="28"/>
        </w:rPr>
        <w:t xml:space="preserve">2. </w:t>
      </w:r>
      <w:r w:rsidRPr="00290F35">
        <w:rPr>
          <w:rStyle w:val="tal1"/>
          <w:rFonts w:ascii="Times New Roman" w:hAnsi="Times New Roman"/>
          <w:sz w:val="28"/>
          <w:szCs w:val="28"/>
        </w:rPr>
        <w:t xml:space="preserve">Considerăm că proiectul este susceptibil a avea un impact negativ semnificativ asupra ariei naturale protejate și, drept consecință, este necesară continuarea procedurii de evaluare adecvată cu elaborarea </w:t>
      </w:r>
      <w:r>
        <w:rPr>
          <w:rStyle w:val="tal1"/>
          <w:rFonts w:ascii="Times New Roman" w:hAnsi="Times New Roman"/>
          <w:sz w:val="28"/>
          <w:szCs w:val="28"/>
        </w:rPr>
        <w:t>S</w:t>
      </w:r>
      <w:r w:rsidRPr="00290F35">
        <w:rPr>
          <w:rStyle w:val="tal1"/>
          <w:rFonts w:ascii="Times New Roman" w:hAnsi="Times New Roman"/>
          <w:sz w:val="28"/>
          <w:szCs w:val="28"/>
        </w:rPr>
        <w:t>tudiului de evaluare adecvată din următoarele considerente:</w:t>
      </w:r>
    </w:p>
    <w:p w:rsidR="00CA57A3" w:rsidRDefault="00CA57A3" w:rsidP="00CA5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ocupă o suprafață de </w:t>
      </w:r>
      <w:r w:rsidR="00A30FDA">
        <w:rPr>
          <w:rStyle w:val="tal1"/>
          <w:rFonts w:ascii="Times New Roman" w:hAnsi="Times New Roman"/>
          <w:sz w:val="28"/>
          <w:szCs w:val="28"/>
        </w:rPr>
        <w:t>66780</w:t>
      </w:r>
      <w:r w:rsidRPr="00A47996">
        <w:rPr>
          <w:rFonts w:ascii="Times New Roman" w:hAnsi="Times New Roman"/>
          <w:sz w:val="28"/>
          <w:lang w:val="ro-RO"/>
        </w:rPr>
        <w:t xml:space="preserve"> mp</w:t>
      </w:r>
      <w:r w:rsidRPr="00F128B4">
        <w:rPr>
          <w:rStyle w:val="tal1"/>
          <w:rFonts w:ascii="Times New Roman" w:hAnsi="Times New Roman"/>
          <w:sz w:val="28"/>
          <w:szCs w:val="28"/>
        </w:rPr>
        <w:t>;</w:t>
      </w:r>
    </w:p>
    <w:p w:rsidR="00CA57A3" w:rsidRDefault="00CA57A3" w:rsidP="00CA5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A47996">
        <w:rPr>
          <w:rStyle w:val="tal1"/>
          <w:rFonts w:ascii="Times New Roman" w:hAnsi="Times New Roman"/>
          <w:sz w:val="28"/>
          <w:szCs w:val="28"/>
        </w:rPr>
        <w:t>Proiectul poate duce la fragmentarea unor habitate;</w:t>
      </w:r>
    </w:p>
    <w:p w:rsidR="00CA57A3" w:rsidRDefault="00CA57A3" w:rsidP="00CA5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Lucrările </w:t>
      </w:r>
      <w:r>
        <w:rPr>
          <w:rStyle w:val="tal1"/>
          <w:rFonts w:ascii="Times New Roman" w:hAnsi="Times New Roman"/>
          <w:sz w:val="28"/>
          <w:szCs w:val="28"/>
        </w:rPr>
        <w:t>pot</w:t>
      </w:r>
      <w:r w:rsidRPr="00F128B4">
        <w:rPr>
          <w:rStyle w:val="tal1"/>
          <w:rFonts w:ascii="Times New Roman" w:hAnsi="Times New Roman"/>
          <w:sz w:val="28"/>
          <w:szCs w:val="28"/>
        </w:rPr>
        <w:t xml:space="preserve"> genera un impact temporar și </w:t>
      </w:r>
      <w:r>
        <w:rPr>
          <w:rStyle w:val="tal1"/>
          <w:rFonts w:ascii="Times New Roman" w:hAnsi="Times New Roman"/>
          <w:sz w:val="28"/>
          <w:szCs w:val="28"/>
        </w:rPr>
        <w:t>i</w:t>
      </w:r>
      <w:r w:rsidRPr="00F128B4">
        <w:rPr>
          <w:rStyle w:val="tal1"/>
          <w:rFonts w:ascii="Times New Roman" w:hAnsi="Times New Roman"/>
          <w:sz w:val="28"/>
          <w:szCs w:val="28"/>
        </w:rPr>
        <w:t>reversibil;</w:t>
      </w:r>
    </w:p>
    <w:p w:rsidR="00A30FDA" w:rsidRDefault="00A30FDA" w:rsidP="00A30FDA">
      <w:pPr>
        <w:pStyle w:val="ListParagraph"/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</w:p>
    <w:p w:rsidR="00A30FDA" w:rsidRDefault="00A30FDA" w:rsidP="00A30FDA">
      <w:pPr>
        <w:pStyle w:val="ListParagraph"/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</w:p>
    <w:p w:rsidR="00A30FDA" w:rsidRDefault="00A30FDA" w:rsidP="00A30FDA">
      <w:pPr>
        <w:pStyle w:val="ListParagraph"/>
        <w:spacing w:after="0" w:line="240" w:lineRule="auto"/>
        <w:jc w:val="center"/>
        <w:rPr>
          <w:rStyle w:val="tal1"/>
          <w:rFonts w:ascii="Times New Roman" w:hAnsi="Times New Roman"/>
          <w:b/>
          <w:sz w:val="28"/>
          <w:szCs w:val="28"/>
        </w:rPr>
      </w:pPr>
      <w:r>
        <w:rPr>
          <w:rStyle w:val="tal1"/>
          <w:rFonts w:ascii="Times New Roman" w:hAnsi="Times New Roman"/>
          <w:b/>
          <w:sz w:val="28"/>
          <w:szCs w:val="28"/>
        </w:rPr>
        <w:t>- 6 –</w:t>
      </w:r>
    </w:p>
    <w:p w:rsidR="00A30FDA" w:rsidRPr="00A30FDA" w:rsidRDefault="00A30FDA" w:rsidP="00A30FDA">
      <w:pPr>
        <w:pStyle w:val="ListParagraph"/>
        <w:spacing w:after="0" w:line="240" w:lineRule="auto"/>
        <w:jc w:val="center"/>
        <w:rPr>
          <w:rStyle w:val="tal1"/>
          <w:rFonts w:ascii="Times New Roman" w:hAnsi="Times New Roman"/>
          <w:b/>
          <w:sz w:val="28"/>
          <w:szCs w:val="28"/>
        </w:rPr>
      </w:pPr>
    </w:p>
    <w:p w:rsidR="00CA57A3" w:rsidRPr="00F128B4" w:rsidRDefault="00CA57A3" w:rsidP="00CA5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</w:t>
      </w:r>
      <w:r>
        <w:rPr>
          <w:rStyle w:val="tal1"/>
          <w:rFonts w:ascii="Times New Roman" w:hAnsi="Times New Roman"/>
          <w:sz w:val="28"/>
          <w:szCs w:val="28"/>
        </w:rPr>
        <w:t xml:space="preserve">nu </w:t>
      </w:r>
      <w:r w:rsidRPr="00F128B4">
        <w:rPr>
          <w:rStyle w:val="tal1"/>
          <w:rFonts w:ascii="Times New Roman" w:hAnsi="Times New Roman"/>
          <w:sz w:val="28"/>
          <w:szCs w:val="28"/>
        </w:rPr>
        <w:t>implică utilizarea, stocarea, transportul, manipularea sau producerea de materiale sau substanțe care ar putea afecta habitatele sau speciile de interes comunitar;</w:t>
      </w:r>
    </w:p>
    <w:p w:rsidR="00CA57A3" w:rsidRDefault="00CA57A3" w:rsidP="00CA5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>Proiectul include acțiuni de construcție, funcționare sau dezafectare care să ducă la modificări fizice în cadrul ariei naturale protejate (topografie, utilizarea terenurilor, modificarea cursurilor de apă, defrișări etc.);</w:t>
      </w:r>
    </w:p>
    <w:p w:rsidR="00CA57A3" w:rsidRPr="00F128B4" w:rsidRDefault="00CA57A3" w:rsidP="00CA5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</w:t>
      </w:r>
      <w:r>
        <w:rPr>
          <w:rStyle w:val="tal1"/>
          <w:rFonts w:ascii="Times New Roman" w:hAnsi="Times New Roman"/>
          <w:sz w:val="28"/>
          <w:szCs w:val="28"/>
        </w:rPr>
        <w:t>i</w:t>
      </w:r>
      <w:r w:rsidRPr="00F128B4">
        <w:rPr>
          <w:rStyle w:val="tal1"/>
          <w:rFonts w:ascii="Times New Roman" w:hAnsi="Times New Roman"/>
          <w:sz w:val="28"/>
          <w:szCs w:val="28"/>
        </w:rPr>
        <w:t>mplică utilizarea de resurse naturale de care depinde diversitatea biologică din zonă (exploatarea apelor subternate sau de suprafață, extracția agregatelor minerale, defrișări, colectarea plantelor</w:t>
      </w:r>
      <w:r w:rsidR="00A30FDA">
        <w:rPr>
          <w:rStyle w:val="tal1"/>
          <w:rFonts w:ascii="Times New Roman" w:hAnsi="Times New Roman"/>
          <w:sz w:val="28"/>
          <w:szCs w:val="28"/>
        </w:rPr>
        <w:t>, inundarea unor terenuri etc.).</w:t>
      </w:r>
    </w:p>
    <w:p w:rsidR="00C4013F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tal1"/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Recomandăm ca la elaborarea </w:t>
      </w:r>
      <w:r>
        <w:rPr>
          <w:rStyle w:val="tal1"/>
          <w:rFonts w:ascii="Times New Roman" w:hAnsi="Times New Roman"/>
          <w:sz w:val="28"/>
          <w:szCs w:val="28"/>
        </w:rPr>
        <w:t>S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tudiului de evaluare </w:t>
      </w:r>
      <w:r>
        <w:rPr>
          <w:rStyle w:val="tal1"/>
          <w:rFonts w:ascii="Times New Roman" w:hAnsi="Times New Roman"/>
          <w:sz w:val="28"/>
          <w:szCs w:val="28"/>
        </w:rPr>
        <w:t>adecvată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 să se efectueze o evaluare mai detaliată a impactului potențial al proiectului, singur și cumulat cu alte proiecte, asupra ari</w:t>
      </w:r>
      <w:r>
        <w:rPr>
          <w:rStyle w:val="tal1"/>
          <w:rFonts w:ascii="Times New Roman" w:hAnsi="Times New Roman"/>
          <w:sz w:val="28"/>
          <w:szCs w:val="28"/>
        </w:rPr>
        <w:t>ei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 naturale protejate pe raza căr</w:t>
      </w:r>
      <w:r>
        <w:rPr>
          <w:rStyle w:val="tal1"/>
          <w:rFonts w:ascii="Times New Roman" w:hAnsi="Times New Roman"/>
          <w:sz w:val="28"/>
          <w:szCs w:val="28"/>
        </w:rPr>
        <w:t>eia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 acesta se va realiza</w:t>
      </w:r>
      <w:r>
        <w:rPr>
          <w:rStyle w:val="tal1"/>
          <w:rFonts w:ascii="Times New Roman" w:hAnsi="Times New Roman"/>
          <w:sz w:val="28"/>
          <w:szCs w:val="28"/>
        </w:rPr>
        <w:t xml:space="preserve"> (</w:t>
      </w:r>
      <w:r w:rsidR="00C4013F" w:rsidRPr="00F84FAD">
        <w:rPr>
          <w:rFonts w:ascii="Times New Roman" w:hAnsi="Times New Roman"/>
          <w:sz w:val="28"/>
          <w:szCs w:val="28"/>
          <w:lang w:val="ro-RO"/>
        </w:rPr>
        <w:t>ROS</w:t>
      </w:r>
      <w:r w:rsidR="00A30FDA">
        <w:rPr>
          <w:rFonts w:ascii="Times New Roman" w:hAnsi="Times New Roman"/>
          <w:sz w:val="28"/>
          <w:szCs w:val="28"/>
          <w:lang w:val="ro-RO"/>
        </w:rPr>
        <w:t>CI0364 – Râul Moldova între Tupilați și Roman</w:t>
      </w:r>
      <w:r>
        <w:rPr>
          <w:rFonts w:ascii="Times New Roman" w:hAnsi="Times New Roman"/>
          <w:sz w:val="28"/>
          <w:szCs w:val="28"/>
          <w:lang w:val="ro-RO"/>
        </w:rPr>
        <w:t>)</w:t>
      </w:r>
      <w:r w:rsidRPr="00F84FAD">
        <w:rPr>
          <w:rStyle w:val="tal1"/>
          <w:rFonts w:ascii="Times New Roman" w:hAnsi="Times New Roman"/>
          <w:sz w:val="28"/>
          <w:szCs w:val="28"/>
        </w:rPr>
        <w:t>. L</w:t>
      </w:r>
      <w:r w:rsidRPr="00F84FAD">
        <w:rPr>
          <w:rFonts w:ascii="Times New Roman" w:hAnsi="Times New Roman"/>
          <w:bCs/>
          <w:sz w:val="28"/>
          <w:szCs w:val="28"/>
          <w:lang w:val="ro-RO"/>
        </w:rPr>
        <w:t xml:space="preserve">a elaborarea acestui studiu </w:t>
      </w:r>
      <w:r w:rsidRPr="00F84FAD">
        <w:rPr>
          <w:rFonts w:ascii="Times New Roman" w:hAnsi="Times New Roman"/>
          <w:sz w:val="28"/>
          <w:szCs w:val="28"/>
          <w:lang w:val="ro-RO"/>
        </w:rPr>
        <w:t>se va ține de cont de prevederile planurilor de management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84FAD">
        <w:rPr>
          <w:rFonts w:ascii="Times New Roman" w:hAnsi="Times New Roman"/>
          <w:sz w:val="28"/>
          <w:szCs w:val="28"/>
          <w:lang w:val="ro-RO"/>
        </w:rPr>
        <w:t>/regulamentelor sau de măsurile de conservare ale ariilor naturale protejate, de formularele standard Natura 2000, de punct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de vedere a custo</w:t>
      </w:r>
      <w:r>
        <w:rPr>
          <w:rFonts w:ascii="Times New Roman" w:hAnsi="Times New Roman"/>
          <w:sz w:val="28"/>
          <w:szCs w:val="28"/>
          <w:lang w:val="ro-RO"/>
        </w:rPr>
        <w:t>delui</w:t>
      </w:r>
      <w:r w:rsidRPr="00290F3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4013F" w:rsidRPr="00F84FAD">
        <w:rPr>
          <w:rFonts w:ascii="Times New Roman" w:hAnsi="Times New Roman"/>
          <w:sz w:val="28"/>
          <w:szCs w:val="28"/>
          <w:lang w:val="ro-RO"/>
        </w:rPr>
        <w:t>ROS</w:t>
      </w:r>
      <w:r w:rsidR="00A30FDA">
        <w:rPr>
          <w:rFonts w:ascii="Times New Roman" w:hAnsi="Times New Roman"/>
          <w:sz w:val="28"/>
          <w:szCs w:val="28"/>
          <w:lang w:val="ro-RO"/>
        </w:rPr>
        <w:t>CI0364 – Râul Moldova între Tupilați și Roman</w:t>
      </w:r>
      <w:r w:rsidR="00C4013F">
        <w:rPr>
          <w:rFonts w:ascii="Times New Roman" w:hAnsi="Times New Roman"/>
          <w:sz w:val="28"/>
          <w:szCs w:val="28"/>
          <w:lang w:val="ro-RO"/>
        </w:rPr>
        <w:t xml:space="preserve"> (</w:t>
      </w:r>
      <w:r>
        <w:rPr>
          <w:rFonts w:ascii="Times New Roman" w:hAnsi="Times New Roman"/>
          <w:sz w:val="28"/>
          <w:szCs w:val="28"/>
          <w:lang w:val="ro-RO"/>
        </w:rPr>
        <w:t xml:space="preserve">Agenția Națională pentru Arii Naturale Protejate – datele de contact sunt </w:t>
      </w:r>
    </w:p>
    <w:p w:rsidR="00C4013F" w:rsidRDefault="00C4013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București, str. Valter Mărăcineanu, nr. 1 – 3, etaj 1, sector 1;</w:t>
      </w:r>
    </w:p>
    <w:p w:rsidR="00C4013F" w:rsidRDefault="00C4013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telefon 0213183833;</w:t>
      </w:r>
    </w:p>
    <w:p w:rsidR="00C4013F" w:rsidRDefault="00C4013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fax 0213183834;</w:t>
      </w:r>
    </w:p>
    <w:p w:rsidR="00C4013F" w:rsidRDefault="00C4013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Mail </w:t>
      </w:r>
      <w:hyperlink r:id="rId6" w:history="1">
        <w:r w:rsidRPr="002D034D">
          <w:rPr>
            <w:rStyle w:val="Hyperlink"/>
            <w:rFonts w:ascii="Times New Roman" w:hAnsi="Times New Roman"/>
            <w:sz w:val="28"/>
            <w:szCs w:val="28"/>
            <w:lang w:val="ro-RO"/>
          </w:rPr>
          <w:t>ananp@ananp.gov.ro</w:t>
        </w:r>
      </w:hyperlink>
      <w:r>
        <w:rPr>
          <w:rFonts w:ascii="Times New Roman" w:hAnsi="Times New Roman"/>
          <w:sz w:val="28"/>
          <w:szCs w:val="28"/>
          <w:u w:val="single"/>
          <w:lang w:val="ro-RO"/>
        </w:rPr>
        <w:t>;</w:t>
      </w:r>
    </w:p>
    <w:p w:rsidR="00CA57A3" w:rsidRPr="00F84FAD" w:rsidRDefault="00F429DC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site ananp.gov.ro</w:t>
      </w:r>
      <w:r w:rsidR="00CA57A3">
        <w:rPr>
          <w:rFonts w:ascii="Times New Roman" w:hAnsi="Times New Roman"/>
          <w:sz w:val="28"/>
          <w:szCs w:val="28"/>
          <w:lang w:val="ro-RO"/>
        </w:rPr>
        <w:t>)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>, punându-se accent pe evaluarea impactului proiectului, singur și cumulat cu alte proiecte din zonă, asupra habitatelor și speciilor de interes comunitar pentru care a fost declarat</w:t>
      </w:r>
      <w:r w:rsidR="00CA57A3">
        <w:rPr>
          <w:rFonts w:ascii="Times New Roman" w:hAnsi="Times New Roman"/>
          <w:sz w:val="28"/>
          <w:szCs w:val="28"/>
          <w:lang w:val="ro-RO"/>
        </w:rPr>
        <w:t>ă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>respectiv</w:t>
      </w:r>
      <w:r w:rsidR="00CA57A3">
        <w:rPr>
          <w:rFonts w:ascii="Times New Roman" w:hAnsi="Times New Roman"/>
          <w:sz w:val="28"/>
          <w:szCs w:val="28"/>
          <w:lang w:val="ro-RO"/>
        </w:rPr>
        <w:t>a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 xml:space="preserve"> ari</w:t>
      </w:r>
      <w:r w:rsidR="00CA57A3">
        <w:rPr>
          <w:rFonts w:ascii="Times New Roman" w:hAnsi="Times New Roman"/>
          <w:sz w:val="28"/>
          <w:szCs w:val="28"/>
          <w:lang w:val="ro-RO"/>
        </w:rPr>
        <w:t>e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 xml:space="preserve"> natural</w:t>
      </w:r>
      <w:r w:rsidR="00CA57A3">
        <w:rPr>
          <w:rFonts w:ascii="Times New Roman" w:hAnsi="Times New Roman"/>
          <w:sz w:val="28"/>
          <w:szCs w:val="28"/>
          <w:lang w:val="ro-RO"/>
        </w:rPr>
        <w:t>ă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 xml:space="preserve"> protejat</w:t>
      </w:r>
      <w:r w:rsidR="00CA57A3">
        <w:rPr>
          <w:rFonts w:ascii="Times New Roman" w:hAnsi="Times New Roman"/>
          <w:sz w:val="28"/>
          <w:szCs w:val="28"/>
          <w:lang w:val="ro-RO"/>
        </w:rPr>
        <w:t>ă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>, precum și măsurile de reducere a impactului, după caz.</w:t>
      </w:r>
    </w:p>
    <w:p w:rsidR="00CA57A3" w:rsidRPr="005A2822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Concluziile Studiului de evaluare adecvată vor fi preluate în Raportul privind impactul asupra mediului.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III. Motivele pe baza cărora s-a stabilit </w:t>
      </w:r>
      <w:r>
        <w:rPr>
          <w:rFonts w:ascii="Times New Roman" w:hAnsi="Times New Roman"/>
          <w:b/>
          <w:sz w:val="28"/>
          <w:szCs w:val="28"/>
        </w:rPr>
        <w:t xml:space="preserve">că nu este necesară </w:t>
      </w:r>
      <w:r w:rsidRPr="00F84FAD">
        <w:rPr>
          <w:rFonts w:ascii="Times New Roman" w:hAnsi="Times New Roman"/>
          <w:b/>
          <w:sz w:val="28"/>
          <w:szCs w:val="28"/>
        </w:rPr>
        <w:t>efectu</w:t>
      </w:r>
      <w:r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ea</w:t>
      </w:r>
      <w:r w:rsidRPr="00F84FAD">
        <w:rPr>
          <w:rFonts w:ascii="Times New Roman" w:hAnsi="Times New Roman"/>
          <w:b/>
          <w:sz w:val="28"/>
          <w:szCs w:val="28"/>
        </w:rPr>
        <w:t xml:space="preserve"> evaluării impactului asupra corpurilor de apă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A57A3" w:rsidRPr="005A2822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În baza adresei </w:t>
      </w:r>
      <w:r w:rsidR="00A30FDA">
        <w:rPr>
          <w:rFonts w:ascii="Times New Roman" w:hAnsi="Times New Roman"/>
          <w:sz w:val="28"/>
          <w:szCs w:val="28"/>
        </w:rPr>
        <w:t xml:space="preserve">Administrației Bazinale de Apă Siret Bacău </w:t>
      </w:r>
      <w:r>
        <w:rPr>
          <w:rFonts w:ascii="Times New Roman" w:hAnsi="Times New Roman"/>
          <w:sz w:val="28"/>
          <w:szCs w:val="28"/>
        </w:rPr>
        <w:t xml:space="preserve">nr. </w:t>
      </w:r>
      <w:r w:rsidR="00A30FDA">
        <w:rPr>
          <w:rFonts w:ascii="Times New Roman" w:hAnsi="Times New Roman"/>
          <w:sz w:val="28"/>
          <w:szCs w:val="28"/>
        </w:rPr>
        <w:t>7056</w:t>
      </w:r>
      <w:r>
        <w:rPr>
          <w:rFonts w:ascii="Times New Roman" w:hAnsi="Times New Roman"/>
          <w:sz w:val="28"/>
          <w:szCs w:val="28"/>
        </w:rPr>
        <w:t xml:space="preserve">  /1</w:t>
      </w:r>
      <w:r w:rsidR="00A30FD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A30F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.2019 (înregistrată la A.P.M. Neamț sub nr. </w:t>
      </w:r>
      <w:r w:rsidR="00A30FDA">
        <w:rPr>
          <w:rFonts w:ascii="Times New Roman" w:hAnsi="Times New Roman"/>
          <w:sz w:val="28"/>
          <w:szCs w:val="28"/>
        </w:rPr>
        <w:t>4237</w:t>
      </w:r>
      <w:r>
        <w:rPr>
          <w:rFonts w:ascii="Times New Roman" w:hAnsi="Times New Roman"/>
          <w:sz w:val="28"/>
          <w:szCs w:val="28"/>
        </w:rPr>
        <w:t xml:space="preserve"> /</w:t>
      </w:r>
      <w:r w:rsidR="00A30FDA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A30F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.2019) rezultă că pentru proiectul respectiv </w:t>
      </w:r>
      <w:r w:rsidR="00F429DC">
        <w:rPr>
          <w:rFonts w:ascii="Times New Roman" w:hAnsi="Times New Roman"/>
          <w:sz w:val="28"/>
          <w:szCs w:val="28"/>
        </w:rPr>
        <w:t>nu este necesară Evaluarea impactului asupra corpurilor de apă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Fonts w:ascii="Times New Roman" w:hAnsi="Times New Roman"/>
          <w:b/>
          <w:sz w:val="28"/>
          <w:szCs w:val="28"/>
        </w:rPr>
        <w:t>Proiectul propus necesită parcurgerea celorlalte etape ale procedurii de evaluare a impactului asupra mediului şi ale etapel</w:t>
      </w:r>
      <w:r>
        <w:rPr>
          <w:rFonts w:ascii="Times New Roman" w:hAnsi="Times New Roman"/>
          <w:b/>
          <w:sz w:val="28"/>
          <w:szCs w:val="28"/>
        </w:rPr>
        <w:t>or</w:t>
      </w:r>
      <w:r w:rsidRPr="00F84FAD">
        <w:rPr>
          <w:rFonts w:ascii="Times New Roman" w:hAnsi="Times New Roman"/>
          <w:b/>
          <w:sz w:val="28"/>
          <w:szCs w:val="28"/>
        </w:rPr>
        <w:t xml:space="preserve"> procedurii de evaluare adecvată</w:t>
      </w:r>
      <w:r>
        <w:rPr>
          <w:rFonts w:ascii="Times New Roman" w:hAnsi="Times New Roman"/>
          <w:b/>
          <w:sz w:val="28"/>
          <w:szCs w:val="28"/>
        </w:rPr>
        <w:t xml:space="preserve">, dar nu se va parcurge </w:t>
      </w:r>
      <w:r w:rsidRPr="00F84FAD">
        <w:rPr>
          <w:rFonts w:ascii="Times New Roman" w:hAnsi="Times New Roman"/>
          <w:b/>
          <w:sz w:val="28"/>
          <w:szCs w:val="28"/>
        </w:rPr>
        <w:t>procedur</w:t>
      </w:r>
      <w:r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 xml:space="preserve"> de evaluare a impactului asupra corpurilor de apă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30FDA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Prezenta decizie </w:t>
      </w:r>
      <w:r>
        <w:rPr>
          <w:rFonts w:ascii="Times New Roman" w:hAnsi="Times New Roman"/>
          <w:sz w:val="28"/>
          <w:szCs w:val="28"/>
        </w:rPr>
        <w:t xml:space="preserve">este valabilă </w:t>
      </w:r>
      <w:r w:rsidRPr="00F84FAD">
        <w:rPr>
          <w:rFonts w:ascii="Times New Roman" w:hAnsi="Times New Roman"/>
          <w:sz w:val="28"/>
          <w:szCs w:val="28"/>
        </w:rPr>
        <w:t xml:space="preserve">pe toată perioada </w:t>
      </w:r>
      <w:r>
        <w:rPr>
          <w:rFonts w:ascii="Times New Roman" w:hAnsi="Times New Roman"/>
          <w:sz w:val="28"/>
          <w:szCs w:val="28"/>
        </w:rPr>
        <w:t>de realizare a proiectului, iar în situația în care intervin elemente noi,</w:t>
      </w:r>
      <w:r w:rsidRPr="00F84FAD">
        <w:rPr>
          <w:rFonts w:ascii="Times New Roman" w:hAnsi="Times New Roman"/>
          <w:sz w:val="28"/>
          <w:szCs w:val="28"/>
        </w:rPr>
        <w:t xml:space="preserve"> necunoscute la data </w:t>
      </w:r>
    </w:p>
    <w:p w:rsidR="00A30FDA" w:rsidRPr="00A30FDA" w:rsidRDefault="00A30FDA" w:rsidP="00A3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- 7 -</w:t>
      </w:r>
    </w:p>
    <w:p w:rsidR="00A30FDA" w:rsidRDefault="00A30FDA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>emiterii prezentei decizii, sau se modifică condițiile care au stat la baza emiterii acesteia, titularul proiectului are obligația de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notifica Agenția pentru Protecția Mediului Neamț.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r w:rsidRPr="00F84FAD">
        <w:rPr>
          <w:rFonts w:ascii="Times New Roman" w:hAnsi="Times New Roman"/>
          <w:b/>
          <w:sz w:val="28"/>
          <w:szCs w:val="28"/>
        </w:rPr>
        <w:t xml:space="preserve"> Menţiuni despre procedura de contestare administrativă şi contencios administrativ.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Orice persoană care face parte din publicul interesat şi care se  consideră vătămată într-un drept al său ori într-un interes legitim se poate adresa instanţei de contencios administrativ competente pentru a ataca, din punct de vedere procedural sau substanţial, actele, deciziile sau omisiunile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autorităţii publice competente pentru protecţia mediului, care fac obiectul participării publiculuiinclusiv apobarea de dezvoltare, potrivit prevederilor Legii contenciosului administrativ nr. </w:t>
      </w:r>
      <w:hyperlink r:id="rId7" w:history="1">
        <w:r w:rsidRPr="00F84FAD">
          <w:rPr>
            <w:rFonts w:ascii="Times New Roman" w:hAnsi="Times New Roman"/>
            <w:sz w:val="28"/>
            <w:szCs w:val="28"/>
          </w:rPr>
          <w:t>554 /2004</w:t>
        </w:r>
      </w:hyperlink>
      <w:r w:rsidRPr="00F84FAD">
        <w:rPr>
          <w:rFonts w:ascii="Times New Roman" w:hAnsi="Times New Roman"/>
          <w:sz w:val="28"/>
          <w:szCs w:val="28"/>
        </w:rPr>
        <w:t>, cu modificările</w:t>
      </w:r>
      <w:r>
        <w:rPr>
          <w:rFonts w:ascii="Times New Roman" w:hAnsi="Times New Roman"/>
          <w:sz w:val="28"/>
          <w:szCs w:val="28"/>
        </w:rPr>
        <w:t xml:space="preserve"> și completările </w:t>
      </w:r>
      <w:r w:rsidRPr="00F84FAD">
        <w:rPr>
          <w:rFonts w:ascii="Times New Roman" w:hAnsi="Times New Roman"/>
          <w:sz w:val="28"/>
          <w:szCs w:val="28"/>
        </w:rPr>
        <w:t xml:space="preserve"> ulterioare.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Se poate adresa instanţei de contencios administrativ competente şi </w:t>
      </w:r>
      <w:r>
        <w:rPr>
          <w:rFonts w:ascii="Times New Roman" w:hAnsi="Times New Roman"/>
          <w:sz w:val="28"/>
          <w:szCs w:val="28"/>
        </w:rPr>
        <w:t xml:space="preserve">orice </w:t>
      </w:r>
      <w:r w:rsidRPr="00F84FAD">
        <w:rPr>
          <w:rFonts w:ascii="Times New Roman" w:hAnsi="Times New Roman"/>
          <w:sz w:val="28"/>
          <w:szCs w:val="28"/>
        </w:rPr>
        <w:t xml:space="preserve">organizaţie neguvernamentală care îndeplineşte </w:t>
      </w:r>
      <w:r>
        <w:rPr>
          <w:rFonts w:ascii="Times New Roman" w:hAnsi="Times New Roman"/>
          <w:sz w:val="28"/>
          <w:szCs w:val="28"/>
        </w:rPr>
        <w:t xml:space="preserve">condițiile </w:t>
      </w:r>
      <w:r w:rsidRPr="00F84FAD">
        <w:rPr>
          <w:rFonts w:ascii="Times New Roman" w:hAnsi="Times New Roman"/>
          <w:sz w:val="28"/>
          <w:szCs w:val="28"/>
        </w:rPr>
        <w:t xml:space="preserve">prevăzute la art. 2 </w:t>
      </w:r>
      <w:r>
        <w:rPr>
          <w:rFonts w:ascii="Times New Roman" w:hAnsi="Times New Roman"/>
          <w:sz w:val="28"/>
          <w:szCs w:val="28"/>
        </w:rPr>
        <w:t xml:space="preserve">din Legea nr. nr. 292 /2018 privind evaluarea impactului anumitor proiecte publice și private asupra mediului, </w:t>
      </w:r>
      <w:r w:rsidRPr="00F84FAD">
        <w:rPr>
          <w:rFonts w:ascii="Times New Roman" w:hAnsi="Times New Roman"/>
          <w:sz w:val="28"/>
          <w:szCs w:val="28"/>
        </w:rPr>
        <w:t>considerându-se că acestea sunt vătămate într-un drept al lor sau într-un interes legitim.</w:t>
      </w:r>
    </w:p>
    <w:p w:rsidR="00CA57A3" w:rsidRPr="005646D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Actele sau omisiunile autorităţii publice competente care fac obiectul participării publicului se atacă în instanţ</w:t>
      </w:r>
      <w:r>
        <w:rPr>
          <w:rFonts w:ascii="Times New Roman" w:hAnsi="Times New Roman"/>
          <w:sz w:val="28"/>
          <w:szCs w:val="28"/>
        </w:rPr>
        <w:t>ă</w:t>
      </w:r>
      <w:r w:rsidRPr="00F84FAD">
        <w:rPr>
          <w:rFonts w:ascii="Times New Roman" w:hAnsi="Times New Roman"/>
          <w:sz w:val="28"/>
          <w:szCs w:val="28"/>
        </w:rPr>
        <w:t xml:space="preserve"> odată cu decizia etapei de încadrare, cu acordul de mediu </w:t>
      </w:r>
      <w:r>
        <w:rPr>
          <w:rFonts w:ascii="Times New Roman" w:hAnsi="Times New Roman"/>
          <w:sz w:val="28"/>
          <w:szCs w:val="28"/>
        </w:rPr>
        <w:t>ori</w:t>
      </w:r>
      <w:r w:rsidRPr="00F84FAD">
        <w:rPr>
          <w:rFonts w:ascii="Times New Roman" w:hAnsi="Times New Roman"/>
          <w:sz w:val="28"/>
          <w:szCs w:val="28"/>
        </w:rPr>
        <w:t xml:space="preserve">, după caz, cu decizia de respingere a solicitării </w:t>
      </w:r>
      <w:r>
        <w:rPr>
          <w:rFonts w:ascii="Times New Roman" w:hAnsi="Times New Roman"/>
          <w:sz w:val="28"/>
          <w:szCs w:val="28"/>
        </w:rPr>
        <w:t xml:space="preserve">de emitere a acordului de mediu, respective cu </w:t>
      </w:r>
      <w:r w:rsidRPr="00F84FAD">
        <w:rPr>
          <w:rFonts w:ascii="Times New Roman" w:hAnsi="Times New Roman"/>
          <w:sz w:val="28"/>
          <w:szCs w:val="28"/>
        </w:rPr>
        <w:t>aprob</w:t>
      </w:r>
      <w:r>
        <w:rPr>
          <w:rFonts w:ascii="Times New Roman" w:hAnsi="Times New Roman"/>
          <w:sz w:val="28"/>
          <w:szCs w:val="28"/>
        </w:rPr>
        <w:t>area</w:t>
      </w:r>
      <w:r w:rsidRPr="00F84FAD">
        <w:rPr>
          <w:rFonts w:ascii="Times New Roman" w:hAnsi="Times New Roman"/>
          <w:sz w:val="28"/>
          <w:szCs w:val="28"/>
        </w:rPr>
        <w:t xml:space="preserve"> de dezvoltare</w:t>
      </w:r>
      <w:r>
        <w:rPr>
          <w:rFonts w:ascii="Times New Roman" w:hAnsi="Times New Roman"/>
          <w:sz w:val="28"/>
          <w:szCs w:val="28"/>
        </w:rPr>
        <w:t xml:space="preserve"> sau, după caz, cu decizia de respingere a aprobării de dezvoltare.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Înainte de a se adresa instanţei de contencios administrativ competente, persoanele prevăzute la art. 21 </w:t>
      </w:r>
      <w:r>
        <w:rPr>
          <w:rFonts w:ascii="Times New Roman" w:hAnsi="Times New Roman"/>
          <w:sz w:val="28"/>
          <w:szCs w:val="28"/>
        </w:rPr>
        <w:t xml:space="preserve">din Legea nr. nr. 292 /2018 privind evaluarea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impactului anumitor proiecte publice și private asupra mediului</w:t>
      </w:r>
      <w:r w:rsidRPr="00F84FAD">
        <w:rPr>
          <w:rFonts w:ascii="Times New Roman" w:hAnsi="Times New Roman"/>
          <w:sz w:val="28"/>
          <w:szCs w:val="28"/>
        </w:rPr>
        <w:t xml:space="preserve"> au obligaţia să solicite autorităţii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publice emitente a deciziei </w:t>
      </w:r>
      <w:r>
        <w:rPr>
          <w:rFonts w:ascii="Times New Roman" w:hAnsi="Times New Roman"/>
          <w:sz w:val="28"/>
          <w:szCs w:val="28"/>
        </w:rPr>
        <w:t>prevăzute</w:t>
      </w:r>
      <w:r w:rsidRPr="00F84FAD">
        <w:rPr>
          <w:rFonts w:ascii="Times New Roman" w:hAnsi="Times New Roman"/>
          <w:sz w:val="28"/>
          <w:szCs w:val="28"/>
        </w:rPr>
        <w:t xml:space="preserve"> la art. 21, alin. (3) sau auto</w:t>
      </w:r>
      <w:r>
        <w:rPr>
          <w:rFonts w:ascii="Times New Roman" w:hAnsi="Times New Roman"/>
          <w:sz w:val="28"/>
          <w:szCs w:val="28"/>
        </w:rPr>
        <w:t>r</w:t>
      </w:r>
      <w:r w:rsidRPr="00F84FAD">
        <w:rPr>
          <w:rFonts w:ascii="Times New Roman" w:hAnsi="Times New Roman"/>
          <w:sz w:val="28"/>
          <w:szCs w:val="28"/>
        </w:rPr>
        <w:t>ităţii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ierarhic superioare revocarea, în tot sau în parte, a respectivei decizii. Solicitarea trebuie înregistrată în termen de 30 de zile de la data aducerii la cunoştinţa publicului a deciziei.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Autoritatea publică emitentă are obligaţia de a răspunde la plângerea prealabilă prevăzută la </w:t>
      </w:r>
      <w:r>
        <w:rPr>
          <w:rFonts w:ascii="Times New Roman" w:hAnsi="Times New Roman"/>
          <w:sz w:val="28"/>
          <w:szCs w:val="28"/>
        </w:rPr>
        <w:t xml:space="preserve">art. 22, </w:t>
      </w:r>
      <w:r w:rsidRPr="00F84FAD">
        <w:rPr>
          <w:rFonts w:ascii="Times New Roman" w:hAnsi="Times New Roman"/>
          <w:sz w:val="28"/>
          <w:szCs w:val="28"/>
        </w:rPr>
        <w:t>alin. (1) în termen de 30 de zile de la data înregistrării acesteia la acea autoritate.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Procedura de soluţionare a plângerii prealabile prevăzută la </w:t>
      </w:r>
      <w:r>
        <w:rPr>
          <w:rFonts w:ascii="Times New Roman" w:hAnsi="Times New Roman"/>
          <w:sz w:val="28"/>
          <w:szCs w:val="28"/>
        </w:rPr>
        <w:t xml:space="preserve">art. 22, </w:t>
      </w:r>
      <w:r w:rsidRPr="00F84FAD">
        <w:rPr>
          <w:rFonts w:ascii="Times New Roman" w:hAnsi="Times New Roman"/>
          <w:sz w:val="28"/>
          <w:szCs w:val="28"/>
        </w:rPr>
        <w:t>alin. (1) este gratuită şi trebuie să fie echitabilă, rapidă şi corectă.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Prezenta decizie poate fi contestată în conformitate cu prevederile </w:t>
      </w:r>
      <w:r>
        <w:rPr>
          <w:rFonts w:ascii="Times New Roman" w:hAnsi="Times New Roman"/>
          <w:sz w:val="28"/>
          <w:szCs w:val="28"/>
        </w:rPr>
        <w:t>din Legii nr. nr. 292 /2018 privind evaluarea impactului anumitor proiecte publice și private asupra mediului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și ale </w:t>
      </w:r>
      <w:r w:rsidRPr="00F84FAD">
        <w:rPr>
          <w:rFonts w:ascii="Times New Roman" w:hAnsi="Times New Roman"/>
          <w:sz w:val="28"/>
          <w:szCs w:val="28"/>
        </w:rPr>
        <w:t>Legii nr. 554 /2004, cu modificările şi completările ulterioare.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Default="00C55E59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sectPr w:rsidR="00C55E59" w:rsidSect="004E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E42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5361C"/>
    <w:multiLevelType w:val="hybridMultilevel"/>
    <w:tmpl w:val="3C0C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5D"/>
    <w:multiLevelType w:val="hybridMultilevel"/>
    <w:tmpl w:val="A8CA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AB1"/>
    <w:multiLevelType w:val="hybridMultilevel"/>
    <w:tmpl w:val="395C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E72"/>
    <w:multiLevelType w:val="hybridMultilevel"/>
    <w:tmpl w:val="6DF2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E48DE"/>
    <w:multiLevelType w:val="hybridMultilevel"/>
    <w:tmpl w:val="7B9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0D5F"/>
    <w:multiLevelType w:val="hybridMultilevel"/>
    <w:tmpl w:val="5F3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3FE0"/>
    <w:multiLevelType w:val="hybridMultilevel"/>
    <w:tmpl w:val="5BA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AB1"/>
    <w:multiLevelType w:val="hybridMultilevel"/>
    <w:tmpl w:val="345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09B2"/>
    <w:multiLevelType w:val="hybridMultilevel"/>
    <w:tmpl w:val="2CF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3174"/>
    <w:multiLevelType w:val="hybridMultilevel"/>
    <w:tmpl w:val="82C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B76"/>
    <w:multiLevelType w:val="hybridMultilevel"/>
    <w:tmpl w:val="AF6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67A"/>
    <w:multiLevelType w:val="hybridMultilevel"/>
    <w:tmpl w:val="9656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90D"/>
    <w:multiLevelType w:val="hybridMultilevel"/>
    <w:tmpl w:val="17A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6B9"/>
    <w:multiLevelType w:val="hybridMultilevel"/>
    <w:tmpl w:val="50DA0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638A8"/>
    <w:multiLevelType w:val="hybridMultilevel"/>
    <w:tmpl w:val="905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C39"/>
    <w:multiLevelType w:val="hybridMultilevel"/>
    <w:tmpl w:val="DA1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1A2"/>
    <w:multiLevelType w:val="hybridMultilevel"/>
    <w:tmpl w:val="CB0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E3456"/>
    <w:multiLevelType w:val="hybridMultilevel"/>
    <w:tmpl w:val="81B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F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3B1"/>
    <w:multiLevelType w:val="hybridMultilevel"/>
    <w:tmpl w:val="B95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F4B"/>
    <w:multiLevelType w:val="hybridMultilevel"/>
    <w:tmpl w:val="C92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570D"/>
    <w:multiLevelType w:val="multilevel"/>
    <w:tmpl w:val="7ECCE2E8"/>
    <w:lvl w:ilvl="0">
      <w:start w:val="1"/>
      <w:numFmt w:val="decimal"/>
      <w:pStyle w:val="Heading1"/>
      <w:lvlText w:val="%1."/>
      <w:lvlJc w:val="left"/>
      <w:pPr>
        <w:tabs>
          <w:tab w:val="num" w:pos="358"/>
        </w:tabs>
        <w:ind w:left="355" w:hanging="35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94"/>
        </w:tabs>
        <w:ind w:left="494" w:hanging="494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78"/>
        </w:tabs>
        <w:ind w:left="678" w:hanging="752"/>
      </w:pPr>
      <w:rPr>
        <w:rFonts w:ascii="Arial Bold" w:hAnsi="Arial Bold" w:hint="default"/>
        <w:b/>
        <w:i w:val="0"/>
        <w:sz w:val="20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46"/>
        </w:tabs>
        <w:ind w:left="946" w:hanging="1020"/>
      </w:pPr>
      <w:rPr>
        <w:rFonts w:ascii="Arial Bold" w:hAnsi="Arial Bold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50"/>
        </w:tabs>
        <w:ind w:left="435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20"/>
        </w:tabs>
        <w:ind w:left="102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46"/>
        </w:tabs>
        <w:ind w:left="946" w:hanging="102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6F77070B"/>
    <w:multiLevelType w:val="hybridMultilevel"/>
    <w:tmpl w:val="A21C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2694F"/>
    <w:multiLevelType w:val="hybridMultilevel"/>
    <w:tmpl w:val="A390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C5FD6"/>
    <w:multiLevelType w:val="hybridMultilevel"/>
    <w:tmpl w:val="210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881"/>
    <w:multiLevelType w:val="hybridMultilevel"/>
    <w:tmpl w:val="9A1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198F"/>
    <w:multiLevelType w:val="hybridMultilevel"/>
    <w:tmpl w:val="6D6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26"/>
  </w:num>
  <w:num w:numId="19">
    <w:abstractNumId w:val="5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4"/>
  </w:num>
  <w:num w:numId="25">
    <w:abstractNumId w:val="23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C55E59"/>
    <w:rsid w:val="00046020"/>
    <w:rsid w:val="000905F4"/>
    <w:rsid w:val="000C1A68"/>
    <w:rsid w:val="000E01E0"/>
    <w:rsid w:val="001F6068"/>
    <w:rsid w:val="00250F1F"/>
    <w:rsid w:val="002567BB"/>
    <w:rsid w:val="00282535"/>
    <w:rsid w:val="00290F35"/>
    <w:rsid w:val="0029279B"/>
    <w:rsid w:val="0030481A"/>
    <w:rsid w:val="00307221"/>
    <w:rsid w:val="00322D2F"/>
    <w:rsid w:val="003669CB"/>
    <w:rsid w:val="003B44A9"/>
    <w:rsid w:val="0041149E"/>
    <w:rsid w:val="00425657"/>
    <w:rsid w:val="0044279E"/>
    <w:rsid w:val="00472521"/>
    <w:rsid w:val="004A25AB"/>
    <w:rsid w:val="004B1185"/>
    <w:rsid w:val="004E1613"/>
    <w:rsid w:val="005161D6"/>
    <w:rsid w:val="005646DD"/>
    <w:rsid w:val="005A2822"/>
    <w:rsid w:val="005A601C"/>
    <w:rsid w:val="005A6AAF"/>
    <w:rsid w:val="00610B46"/>
    <w:rsid w:val="006358C9"/>
    <w:rsid w:val="006A0D27"/>
    <w:rsid w:val="006D498E"/>
    <w:rsid w:val="00703994"/>
    <w:rsid w:val="007A681B"/>
    <w:rsid w:val="00857549"/>
    <w:rsid w:val="00887C2B"/>
    <w:rsid w:val="008B4047"/>
    <w:rsid w:val="00941343"/>
    <w:rsid w:val="009D3580"/>
    <w:rsid w:val="00A30FDA"/>
    <w:rsid w:val="00A47996"/>
    <w:rsid w:val="00A94E44"/>
    <w:rsid w:val="00B01962"/>
    <w:rsid w:val="00B3643A"/>
    <w:rsid w:val="00B53C98"/>
    <w:rsid w:val="00B86939"/>
    <w:rsid w:val="00B955CE"/>
    <w:rsid w:val="00BE7C46"/>
    <w:rsid w:val="00C34E8C"/>
    <w:rsid w:val="00C4013F"/>
    <w:rsid w:val="00C55E59"/>
    <w:rsid w:val="00C67926"/>
    <w:rsid w:val="00C810B6"/>
    <w:rsid w:val="00C8296B"/>
    <w:rsid w:val="00CA0A46"/>
    <w:rsid w:val="00CA57A3"/>
    <w:rsid w:val="00CD2C44"/>
    <w:rsid w:val="00CE79A4"/>
    <w:rsid w:val="00D25E1F"/>
    <w:rsid w:val="00DD6EF5"/>
    <w:rsid w:val="00DE672D"/>
    <w:rsid w:val="00E60865"/>
    <w:rsid w:val="00E8736B"/>
    <w:rsid w:val="00E9452C"/>
    <w:rsid w:val="00EA0F2B"/>
    <w:rsid w:val="00EA21B5"/>
    <w:rsid w:val="00F429DC"/>
    <w:rsid w:val="00F52BD7"/>
    <w:rsid w:val="00F72273"/>
    <w:rsid w:val="00F7552E"/>
    <w:rsid w:val="00FA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13"/>
  </w:style>
  <w:style w:type="paragraph" w:styleId="Heading1">
    <w:name w:val="heading 1"/>
    <w:aliases w:val="Chapitre,h1,H1,H11,H12,H111,H13,H112,H14,H113,H15,H114,H16,H115,H17,H116,H18,H117,H19,H118,H110,H119,H120,H1110,h11,h12,h13,BSL,Main Heading,Hoofdstuk,Heading 1 Char Char Char,Titre principal (1),Nombre Proyecto,Titre principal (1)1,CarlBro 1"/>
    <w:basedOn w:val="Normal"/>
    <w:next w:val="BodyText"/>
    <w:link w:val="Heading1Char"/>
    <w:uiPriority w:val="9"/>
    <w:qFormat/>
    <w:rsid w:val="00C55E59"/>
    <w:pPr>
      <w:keepNext/>
      <w:numPr>
        <w:numId w:val="2"/>
      </w:numPr>
      <w:tabs>
        <w:tab w:val="left" w:pos="425"/>
      </w:tabs>
      <w:spacing w:before="240" w:after="120" w:line="240" w:lineRule="auto"/>
      <w:jc w:val="both"/>
      <w:outlineLvl w:val="0"/>
    </w:pPr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paragraph" w:styleId="Heading2">
    <w:name w:val="heading 2"/>
    <w:aliases w:val="Section Char,L2 Char,Section head Char,SH Char,Section,L2,Section head,SH,CarlBro 2,sous-chapitre,a Titlu 2,a Titlu 2 Char,2 headline,h,sous-chapitre Char Char,Fejléc 2,Titre secondaire (2),PA Major Section,h2,h21,Major,Project 2,RFS 2,2,ni2"/>
    <w:basedOn w:val="Normal"/>
    <w:next w:val="BodyText"/>
    <w:link w:val="Heading2Char"/>
    <w:autoRedefine/>
    <w:uiPriority w:val="9"/>
    <w:qFormat/>
    <w:rsid w:val="00C55E59"/>
    <w:pPr>
      <w:keepNext/>
      <w:numPr>
        <w:ilvl w:val="1"/>
        <w:numId w:val="2"/>
      </w:numPr>
      <w:tabs>
        <w:tab w:val="left" w:pos="851"/>
      </w:tabs>
      <w:spacing w:before="240" w:after="120" w:line="240" w:lineRule="auto"/>
      <w:jc w:val="both"/>
      <w:outlineLvl w:val="1"/>
    </w:pPr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paragraph" w:styleId="Heading3">
    <w:name w:val="heading 3"/>
    <w:aliases w:val="Char2,Char1,Section SubHeading Char,L3 Char,Section SubHeading,L3,CarlBro 3,h3,Titlu 3 Caracter Caracter Caracter,Titlu 3 Caracter Caracter Caracter Caracter,KopCat. 3,Sous-titre (3),PA Minor Section,Minor,3,numbered indent 3,ni3,DNV-H3"/>
    <w:basedOn w:val="Normal"/>
    <w:next w:val="BodyText"/>
    <w:link w:val="Heading3Char"/>
    <w:uiPriority w:val="9"/>
    <w:qFormat/>
    <w:rsid w:val="00C55E5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paragraph" w:styleId="Heading4">
    <w:name w:val="heading 4"/>
    <w:aliases w:val="Char2 Char,Char1 Char, Char1 Char, Char1,Heading 3 Char1,Char2 Char1,Char1 Char1,Char11,Heading 4 Char2,Heading 4 Char Char2,Heading 4 Char1 Char Char1,Heading 4 Char Char Char Char1,Heading 4 Char1 Char1,Heading 4 Char Char Char1,Heading4"/>
    <w:basedOn w:val="Normal"/>
    <w:next w:val="BodyText"/>
    <w:link w:val="Heading4Char"/>
    <w:uiPriority w:val="99"/>
    <w:qFormat/>
    <w:rsid w:val="00C55E59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paragraph" w:styleId="Heading5">
    <w:name w:val="heading 5"/>
    <w:aliases w:val="Block Label,DO NOT USE_h5,Char Char1,PA Pico Section,h5,DNV-H5,Roman list,Lev 5,5 sub-bullet,sb,H5,Titre 1.1111,Aston T5,(Shift Ctrl 5),T5,Titre5,heading 5,a),NCS-H5,Level 3 - i,Chapitre 1.1.1.1.,niveau 5,Sous-chapitre (niveau 4),Org Heading 3"/>
    <w:basedOn w:val="Normal"/>
    <w:next w:val="BodyText"/>
    <w:link w:val="Heading5Char"/>
    <w:uiPriority w:val="99"/>
    <w:qFormat/>
    <w:rsid w:val="00C55E59"/>
    <w:pPr>
      <w:numPr>
        <w:ilvl w:val="4"/>
        <w:numId w:val="2"/>
      </w:numPr>
      <w:tabs>
        <w:tab w:val="clear" w:pos="4350"/>
        <w:tab w:val="num" w:pos="946"/>
      </w:tabs>
      <w:spacing w:before="120" w:after="120" w:line="240" w:lineRule="auto"/>
      <w:ind w:left="946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aliases w:val="PA Appendix,Appendix,DNV-H6,Bullet list,Lev 6,sub-dash,sd,5,H6,Annexe1,Aston T6,(Shift Ctrl 6),DO NOT USE_h6,Niveau 6,Niveau6,Legal Level 1.,6,Annexe,h6,appendix flysheet,Renvoi Noir,Ref Heading 3,rh3,Ref Heading 31,rh31,H61,Third Subheading"/>
    <w:basedOn w:val="Normal"/>
    <w:next w:val="BodyText"/>
    <w:link w:val="Heading6Char"/>
    <w:uiPriority w:val="99"/>
    <w:qFormat/>
    <w:rsid w:val="00C55E59"/>
    <w:pPr>
      <w:numPr>
        <w:ilvl w:val="5"/>
        <w:numId w:val="2"/>
      </w:numPr>
      <w:tabs>
        <w:tab w:val="clear" w:pos="1020"/>
        <w:tab w:val="num" w:pos="946"/>
      </w:tabs>
      <w:spacing w:before="120" w:after="120" w:line="240" w:lineRule="auto"/>
      <w:ind w:left="946"/>
      <w:outlineLvl w:val="5"/>
    </w:pPr>
    <w:rPr>
      <w:rFonts w:ascii="Arial" w:eastAsia="Times New Roman" w:hAnsi="Arial" w:cs="Times New Roman"/>
      <w:b/>
      <w:bC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,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uiPriority w:val="9"/>
    <w:rsid w:val="00C55E59"/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aliases w:val="Section Char Char,L2 Char Char,Section head Char Char,SH Char Char,Section Char1,L2 Char1,Section head Char1,SH Char1,CarlBro 2 Char,sous-chapitre Char,a Titlu 2 Char1,a Titlu 2 Char Char,2 headline Char,h Char,Fejléc 2 Char,h2 Char"/>
    <w:basedOn w:val="DefaultParagraphFont"/>
    <w:link w:val="Heading2"/>
    <w:uiPriority w:val="9"/>
    <w:rsid w:val="00C55E59"/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character" w:customStyle="1" w:styleId="Heading3Char">
    <w:name w:val="Heading 3 Char"/>
    <w:aliases w:val="Char2 Char2,Char1 Char2,Section SubHeading Char Char,L3 Char Char,Section SubHeading Char1,L3 Char1,CarlBro 3 Char,h3 Char,Titlu 3 Caracter Caracter Caracter Char,Titlu 3 Caracter Caracter Caracter Caracter Char,KopCat. 3 Char,Minor Char"/>
    <w:basedOn w:val="DefaultParagraphFont"/>
    <w:link w:val="Heading3"/>
    <w:uiPriority w:val="9"/>
    <w:rsid w:val="00C55E59"/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character" w:customStyle="1" w:styleId="Heading4Char">
    <w:name w:val="Heading 4 Char"/>
    <w:aliases w:val="Char2 Char Char,Char1 Char Char, Char1 Char Char, Char1 Char1,Heading 3 Char1 Char,Char2 Char1 Char,Char1 Char1 Char,Char11 Char,Heading 4 Char2 Char,Heading 4 Char Char2 Char,Heading 4 Char1 Char Char1 Char,Heading 4 Char1 Char1 Char"/>
    <w:basedOn w:val="DefaultParagraphFont"/>
    <w:link w:val="Heading4"/>
    <w:uiPriority w:val="99"/>
    <w:rsid w:val="00C55E59"/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character" w:customStyle="1" w:styleId="Heading5Char">
    <w:name w:val="Heading 5 Char"/>
    <w:aliases w:val="Block Label Char,DO NOT USE_h5 Char,Char Char1 Char,PA Pico Section Char,h5 Char,DNV-H5 Char,Roman list Char,Lev 5 Char,5 sub-bullet Char,sb Char,H5 Char,Titre 1.1111 Char,Aston T5 Char,(Shift Ctrl 5) Char,T5 Char,Titre5 Char,a) Char"/>
    <w:basedOn w:val="DefaultParagraphFont"/>
    <w:link w:val="Heading5"/>
    <w:uiPriority w:val="99"/>
    <w:rsid w:val="00C55E59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aliases w:val="PA Appendix Char,Appendix Char,DNV-H6 Char,Bullet list Char,Lev 6 Char,sub-dash Char,sd Char,5 Char,H6 Char,Annexe1 Char,Aston T6 Char,(Shift Ctrl 6) Char,DO NOT USE_h6 Char,Niveau 6 Char,Niveau6 Char,Legal Level 1. Char,6 Char,h6 Char"/>
    <w:basedOn w:val="DefaultParagraphFont"/>
    <w:link w:val="Heading6"/>
    <w:uiPriority w:val="99"/>
    <w:rsid w:val="00C55E59"/>
    <w:rPr>
      <w:rFonts w:ascii="Arial" w:eastAsia="Times New Roman" w:hAnsi="Arial" w:cs="Times New Roman"/>
      <w:b/>
      <w:bCs/>
      <w:sz w:val="20"/>
      <w:lang w:val="it-IT" w:eastAsia="en-US"/>
    </w:rPr>
  </w:style>
  <w:style w:type="character" w:styleId="Hyperlink">
    <w:name w:val="Hyperlink"/>
    <w:uiPriority w:val="99"/>
    <w:rsid w:val="00C55E59"/>
    <w:rPr>
      <w:color w:val="0000FF"/>
      <w:u w:val="single"/>
    </w:rPr>
  </w:style>
  <w:style w:type="paragraph" w:styleId="BodyText">
    <w:name w:val="Body Text"/>
    <w:basedOn w:val="Normal"/>
    <w:link w:val="BodyTextChar"/>
    <w:rsid w:val="00C55E59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55E59"/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rsid w:val="00C5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5E5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Bullet2">
    <w:name w:val="List Bullet 2"/>
    <w:basedOn w:val="Normal"/>
    <w:qFormat/>
    <w:rsid w:val="00C55E59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">
    <w:name w:val="Default"/>
    <w:link w:val="DefaultChar"/>
    <w:qFormat/>
    <w:rsid w:val="00C55E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55E59"/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C55E59"/>
    <w:rPr>
      <w:rFonts w:ascii="Calibri" w:eastAsia="Calibri" w:hAnsi="Calibri" w:cs="Times New Roman"/>
      <w:lang w:val="en-US" w:eastAsia="en-US"/>
    </w:rPr>
  </w:style>
  <w:style w:type="character" w:customStyle="1" w:styleId="tal1">
    <w:name w:val="tal1"/>
    <w:basedOn w:val="DefaultParagraphFont"/>
    <w:rsid w:val="00C55E59"/>
  </w:style>
  <w:style w:type="paragraph" w:styleId="ListParagraph">
    <w:name w:val="List Paragraph"/>
    <w:basedOn w:val="Normal"/>
    <w:uiPriority w:val="34"/>
    <w:qFormat/>
    <w:rsid w:val="00C55E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CaracterCaracter1">
    <w:name w:val="Caracter Caracter1"/>
    <w:basedOn w:val="Normal"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liviu.jigau\Desktop\MODEL%20ACTE\0007938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np@ananp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9BFE-240D-4361-BABE-AEECF4D1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dcterms:created xsi:type="dcterms:W3CDTF">2019-05-07T10:39:00Z</dcterms:created>
  <dcterms:modified xsi:type="dcterms:W3CDTF">2019-05-07T10:39:00Z</dcterms:modified>
</cp:coreProperties>
</file>