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2F" w:rsidRPr="00AF322F" w:rsidRDefault="00AF322F" w:rsidP="00AF322F">
      <w:pPr>
        <w:tabs>
          <w:tab w:val="center" w:pos="4680"/>
          <w:tab w:val="left" w:pos="9000"/>
          <w:tab w:val="right" w:pos="9360"/>
        </w:tabs>
        <w:spacing w:after="0" w:line="240" w:lineRule="auto"/>
        <w:rPr>
          <w:rFonts w:ascii="Calibri" w:eastAsia="Calibri" w:hAnsi="Calibri" w:cs="Times New Roman"/>
          <w:lang w:val="it-IT" w:eastAsia="en-US"/>
        </w:rPr>
      </w:pPr>
    </w:p>
    <w:p w:rsidR="00AF322F" w:rsidRPr="00AF322F" w:rsidRDefault="00AF322F" w:rsidP="00AF322F">
      <w:pPr>
        <w:spacing w:after="0" w:line="240" w:lineRule="auto"/>
        <w:jc w:val="center"/>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AUTORIZAŢIE DE MEDIU</w:t>
      </w:r>
    </w:p>
    <w:p w:rsidR="00AF322F" w:rsidRPr="00AF322F" w:rsidRDefault="00AF322F" w:rsidP="00AF322F">
      <w:pPr>
        <w:spacing w:after="0" w:line="240" w:lineRule="auto"/>
        <w:jc w:val="center"/>
        <w:rPr>
          <w:rFonts w:ascii="Times New Roman" w:eastAsia="Calibri" w:hAnsi="Times New Roman" w:cs="Times New Roman"/>
          <w:b/>
          <w:color w:val="FF0000"/>
          <w:sz w:val="28"/>
          <w:szCs w:val="28"/>
          <w:lang w:val="en-US" w:eastAsia="en-US"/>
        </w:rPr>
      </w:pPr>
      <w:r w:rsidRPr="00AF322F">
        <w:rPr>
          <w:rFonts w:ascii="Times New Roman" w:eastAsia="Calibri" w:hAnsi="Times New Roman" w:cs="Times New Roman"/>
          <w:b/>
          <w:sz w:val="28"/>
          <w:szCs w:val="28"/>
          <w:lang w:val="en-US" w:eastAsia="en-US"/>
        </w:rPr>
        <w:t xml:space="preserve">Nr. </w:t>
      </w:r>
      <w:r>
        <w:rPr>
          <w:rFonts w:ascii="Times New Roman" w:eastAsia="Calibri" w:hAnsi="Times New Roman" w:cs="Times New Roman"/>
          <w:b/>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color w:val="FF0000"/>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Ca urmare a cererii adresate de </w:t>
      </w:r>
      <w:r w:rsidRPr="00AF322F">
        <w:rPr>
          <w:rFonts w:ascii="Times New Roman" w:eastAsia="Calibri" w:hAnsi="Times New Roman" w:cs="Times New Roman"/>
          <w:b/>
          <w:sz w:val="28"/>
          <w:szCs w:val="28"/>
          <w:lang w:val="en-US" w:eastAsia="en-US"/>
        </w:rPr>
        <w:t xml:space="preserve">SC MAVGO HOLDING SRL </w:t>
      </w:r>
      <w:r w:rsidRPr="00AF322F">
        <w:rPr>
          <w:rFonts w:ascii="Times New Roman" w:eastAsia="Calibri" w:hAnsi="Times New Roman" w:cs="Times New Roman"/>
          <w:sz w:val="28"/>
          <w:szCs w:val="28"/>
          <w:lang w:val="en-US" w:eastAsia="en-US"/>
        </w:rPr>
        <w:t xml:space="preserve">cu sediul în judeţul </w:t>
      </w:r>
      <w:r w:rsidRPr="00AF322F">
        <w:rPr>
          <w:rFonts w:ascii="Times New Roman" w:eastAsia="Calibri" w:hAnsi="Times New Roman" w:cs="Times New Roman"/>
          <w:sz w:val="28"/>
          <w:szCs w:val="28"/>
          <w:lang w:val="ro-RO" w:eastAsia="en-US"/>
        </w:rPr>
        <w:t>Bacău</w:t>
      </w:r>
      <w:r w:rsidRPr="00AF322F">
        <w:rPr>
          <w:rFonts w:ascii="Times New Roman" w:eastAsia="Calibri" w:hAnsi="Times New Roman" w:cs="Times New Roman"/>
          <w:sz w:val="28"/>
          <w:szCs w:val="28"/>
          <w:lang w:val="en-US" w:eastAsia="en-US"/>
        </w:rPr>
        <w:t xml:space="preserve">, comuna Buhoci, sat Buhoci, </w:t>
      </w:r>
      <w:r w:rsidRPr="00AF322F">
        <w:rPr>
          <w:rFonts w:ascii="Times New Roman" w:eastAsia="Calibri" w:hAnsi="Times New Roman" w:cs="Times New Roman"/>
          <w:sz w:val="28"/>
          <w:szCs w:val="28"/>
          <w:lang w:val="ro-RO" w:eastAsia="en-US"/>
        </w:rPr>
        <w:t xml:space="preserve">telefon 0747 /845044, </w:t>
      </w:r>
      <w:r w:rsidRPr="00AF322F">
        <w:rPr>
          <w:rFonts w:ascii="Times New Roman" w:eastAsia="Calibri" w:hAnsi="Times New Roman" w:cs="Times New Roman"/>
          <w:sz w:val="28"/>
          <w:szCs w:val="28"/>
          <w:lang w:val="en-US" w:eastAsia="en-US"/>
        </w:rPr>
        <w:t>înregistrată la numărul 4929/19.06.2020</w:t>
      </w:r>
    </w:p>
    <w:p w:rsidR="00AF322F" w:rsidRPr="00AF322F" w:rsidRDefault="00AF322F" w:rsidP="00AF322F">
      <w:pPr>
        <w:spacing w:after="0" w:line="240" w:lineRule="auto"/>
        <w:jc w:val="both"/>
        <w:rPr>
          <w:rFonts w:ascii="Times New Roman" w:eastAsia="Calibri" w:hAnsi="Times New Roman" w:cs="Times New Roman"/>
          <w:b/>
          <w:bCs/>
          <w:sz w:val="28"/>
          <w:szCs w:val="28"/>
          <w:lang w:val="ro-RO" w:eastAsia="en-US"/>
        </w:rPr>
      </w:pPr>
      <w:r w:rsidRPr="00AF322F">
        <w:rPr>
          <w:rFonts w:ascii="Times New Roman" w:eastAsia="Calibri" w:hAnsi="Times New Roman" w:cs="Times New Roman"/>
          <w:sz w:val="28"/>
          <w:szCs w:val="28"/>
          <w:lang w:val="en-US" w:eastAsia="en-US"/>
        </w:rPr>
        <w:t xml:space="preserve">              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Ordinului M.M.D.D. nr.1798 /2007, se emite</w:t>
      </w:r>
    </w:p>
    <w:p w:rsidR="00AF322F" w:rsidRPr="00AF322F" w:rsidRDefault="00AF322F" w:rsidP="00AF322F">
      <w:pPr>
        <w:spacing w:after="0" w:line="240" w:lineRule="auto"/>
        <w:jc w:val="center"/>
        <w:rPr>
          <w:rFonts w:ascii="Times New Roman" w:eastAsia="Calibri" w:hAnsi="Times New Roman" w:cs="Times New Roman"/>
          <w:b/>
          <w:bCs/>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ro-RO" w:eastAsia="en-US"/>
        </w:rPr>
      </w:pPr>
      <w:r w:rsidRPr="00AF322F">
        <w:rPr>
          <w:rFonts w:ascii="Times New Roman" w:eastAsia="Calibri" w:hAnsi="Times New Roman" w:cs="Times New Roman"/>
          <w:b/>
          <w:sz w:val="28"/>
          <w:szCs w:val="28"/>
          <w:lang w:val="ro-RO" w:eastAsia="en-US"/>
        </w:rPr>
        <w:t xml:space="preserve">                                         AUTORIZAŢIA DE MEDIU</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sz w:val="28"/>
          <w:szCs w:val="28"/>
          <w:lang w:val="en-US" w:eastAsia="en-US"/>
        </w:rPr>
        <w:t xml:space="preserve">pentru </w:t>
      </w:r>
      <w:r w:rsidRPr="00AF322F">
        <w:rPr>
          <w:rFonts w:ascii="Times New Roman" w:eastAsia="Calibri" w:hAnsi="Times New Roman" w:cs="Times New Roman"/>
          <w:b/>
          <w:sz w:val="28"/>
          <w:szCs w:val="28"/>
          <w:lang w:val="en-US" w:eastAsia="en-US"/>
        </w:rPr>
        <w:t>SC MAVGO HOLDING SRL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cu punct de lucru în Tîrgu Neamț, extravilan, perimetrul Tîrgu Neamț 1, centrul albiei râu Ozana</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sz w:val="28"/>
          <w:szCs w:val="28"/>
          <w:lang w:val="en-US" w:eastAsia="en-US"/>
        </w:rPr>
        <w:t>care prevede :</w:t>
      </w:r>
      <w:r w:rsidRPr="00AF322F">
        <w:rPr>
          <w:rFonts w:ascii="Times New Roman" w:eastAsia="Calibri" w:hAnsi="Times New Roman" w:cs="Times New Roman"/>
          <w:b/>
          <w:sz w:val="28"/>
          <w:szCs w:val="28"/>
          <w:lang w:val="en-US" w:eastAsia="en-US"/>
        </w:rPr>
        <w:t>desfăşurarea activităţii “extracţia pietrişului şi nisipului; extracția argilei și caolinului” (cod CAEN 0812)</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Documentaţia conţine : fişa de prezentare şi declaraţie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elaborată de : SC PROVICON SRL Piatra Neamț – ing. Ioan Vlad (reprezentant SC MAVGO HOLDING SRL Buhoci - COJOCARU GABI - CONSTANTIN)</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fr-FR" w:eastAsia="en-US"/>
        </w:rPr>
        <w:t>Proces ver</w:t>
      </w:r>
      <w:r w:rsidRPr="00AF322F">
        <w:rPr>
          <w:rFonts w:ascii="Times New Roman" w:eastAsia="Calibri" w:hAnsi="Times New Roman" w:cs="Times New Roman"/>
          <w:sz w:val="28"/>
          <w:szCs w:val="28"/>
          <w:lang w:val="en-US" w:eastAsia="en-US"/>
        </w:rPr>
        <w:t xml:space="preserve">bal de verificare amplasament nr. 4929/30.07.2020; Ziarul „Realitatea” din 20 - 21.06.2020; Decizie emitere autorizaţie de mediu A.P.M. Neamţ nr. </w:t>
      </w:r>
      <w:r w:rsidRPr="00AF322F">
        <w:rPr>
          <w:rFonts w:ascii="Times New Roman" w:eastAsia="Calibri" w:hAnsi="Times New Roman" w:cs="Times New Roman"/>
          <w:color w:val="FF0000"/>
          <w:sz w:val="28"/>
          <w:szCs w:val="28"/>
          <w:lang w:val="en-US" w:eastAsia="en-US"/>
        </w:rPr>
        <w:t>476 din 21.01.2020</w:t>
      </w:r>
      <w:r w:rsidRPr="00AF322F">
        <w:rPr>
          <w:rFonts w:ascii="Times New Roman" w:eastAsia="Calibri" w:hAnsi="Times New Roman" w:cs="Times New Roman"/>
          <w:sz w:val="28"/>
          <w:szCs w:val="28"/>
          <w:lang w:val="en-US" w:eastAsia="en-US"/>
        </w:rPr>
        <w:t xml:space="preserve"> şi postare pe pagina de internet a A.P.M. Neamţ; Ordin de plată nr. 2020622132418568/22.06.2020; Plan de situaţie şi Plan de încadrare în zonă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fr-FR" w:eastAsia="en-US"/>
        </w:rPr>
        <w:t>şi următoarele acte de reglementare emise de alte autorităţi : Certificat de înregistrare nr. J4/317/27.02.2020(cod unic deînregistrare 34060708); Certificat constatator nr. 349719 /17.06.2020; Act constitutiv nr. 10 /10.01.2020; Autorizaţie de construire nr. 90 /04.05.2020; Decizia etapei de încadrarenr. 8747 /17.12.2019 emisă de A.P.M. Neamţ; Autorizaţie de gospodărire a apelor nr. 118 /04.06.2020; Contract de închiriere încheiat cu A.B.A. Siret Bacău sub nr. 284 /403 /13.12.2018;</w:t>
      </w:r>
      <w:r w:rsidRPr="00AF322F">
        <w:rPr>
          <w:rFonts w:ascii="Times New Roman" w:eastAsia="Calibri" w:hAnsi="Times New Roman" w:cs="Times New Roman"/>
          <w:sz w:val="28"/>
          <w:szCs w:val="28"/>
          <w:lang w:val="en-US" w:eastAsia="en-US"/>
        </w:rPr>
        <w:t>Aviz I.S.U. “Petrodava” al judeţului Neamţ nr. 4247155 /04.04.2019; Avizul Direcției Județene pentru Cultură Neamț nr. 34 /13.09.2019; Acord de reabilitare  nr. 2158</w:t>
      </w:r>
      <w:r w:rsidRPr="00AF322F">
        <w:rPr>
          <w:rFonts w:ascii="Times New Roman" w:eastAsia="Calibri" w:hAnsi="Times New Roman" w:cs="Times New Roman"/>
          <w:sz w:val="28"/>
          <w:szCs w:val="28"/>
          <w:lang w:val="fr-FR" w:eastAsia="en-US"/>
        </w:rPr>
        <w:t xml:space="preserve">/11.07.2019 emis de Orașul Tîrgu Neamț; Permis de exploatare nr. 22626/06.04.2020 emis de </w:t>
      </w:r>
      <w:r w:rsidRPr="00AF322F">
        <w:rPr>
          <w:rFonts w:ascii="Times New Roman" w:eastAsia="Calibri" w:hAnsi="Times New Roman" w:cs="Times New Roman"/>
          <w:sz w:val="28"/>
          <w:szCs w:val="28"/>
          <w:lang w:val="en-US" w:eastAsia="en-US"/>
        </w:rPr>
        <w:t>A.N.R.M. Bucureşti; Proiect tehnic și Plan de refacere a mediului întocmite de geolog Alecu Mocanu.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Prezenta autorizaţie se emite cu următoarele condiţii impuse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s-PE" w:eastAsia="en-US"/>
        </w:rPr>
      </w:pPr>
      <w:r w:rsidRPr="00AF322F">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2. Solicitarea revizuirii autorizaţiei de mediu se realizează ori de câte ori există o schimbare de fond a datelor care au stat la baza emiterii ei.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3. Verificarea conformării cu prevederile prezentului act se face de către Garda Naţională de Mediu – Comisariatul Judeţean Neamţ.</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lastRenderedPageBreak/>
        <w:t>4. Achitarea anual a taxei datorate la Fondul de mediu conform O.U.G.nr.196 /2005.</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5.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6.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7. Respectarea tehnologiei de lucru avizată în vederea protecţiei factorilor de mediu: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retragerea utilajelor pe mal la sfârşitul programului de lucru zilnic şi executarea activităţilor de alimentare cu motorină şi schimb de ulei în condiţii de evitare a poluării solului şi apei cu produse petroliere;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respectarea tehnologiei şi adâncimii de extracţie avizate prin Autorizaţia de gospodărirea apelor;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rambleerea golurilor şi nivelarea fâşiei de extracţie la sfârşitul zilei de lucru;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interzice depozitarea temporară sau permanentă a materialului extras pe amplasamentele pozate transversal faţă de direcţia de curgere a râului; nu se va excava în zonele concave ale malurilor;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se vor efectua devieri sau ştrangulări ale cursului de apă;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amenajarea şi întreţinerea drumurilor din incintă şi a celor de acces la căile de comunicaţie rutieră; reducerea vitezei mijloacelor de transport în zonele locuite;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dacă în zonă se promovează lucrări hidrotehnice, regularizări, consolidări de maluri, apărări împotriva inundaţiilor, exploatarea de nisip şi pietriş va fi oprită, acestea fiind cazuri de forţă majoră;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menţine integritatea vegetaţiei palustre (stufăriş, păpuriş) precum şi a vegetaţiei lemnoase de-a lungul ţărmurilor;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deşeurile rezultate vor fi depozitate (pe categorii) în spaţii special amenajate, urmând a fi predate periodic la Societăţi autorizate.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perimetrul exploatării va fi bornat și exploatarea se va face numai în interiorul acestuia;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interzicerea deschiderii de noi drumuri de acces cu excepția celor existente; nu se va circula pe malurile râului Ozana în afara perimetrului aprobat și a drumului de acces către acesta; viteza autobasculantelor va fi redusă până la 5 km /h în vederea diminuării poluării fonice;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interzicerea oricăror întreruperi ale conectivității longitudinale și laterale a râului Ozana , cu excepția lucrărilor strict necesare de apărare împotriva inundațiilor;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conservarea zonelor de prundiș, importante pentru cuibărirea și hrănirea speciilor de păsări, cu excepția zonelor albiei minore, care necesită lucrări de decolmatare și regularizare în vederea evitării pericolului de inundații;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vor respecta limitele și adâncimea de exploatare, fără a depăși cota talvegului râului în zonă;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vor respecta perioadele de reproducere ale speciilor de mamifere și pești;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interzicerea defrișării zăvoaielor și a arderii vegetației /stufărișului, fără acceptul A.P.M. Neamț;</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evita poluarea fonică;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la finalizarea exploatării se vor nivela suprafețele excavate și se vor îndepărta de pe amplasament deșeurile.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Pentru speciile protejate de plante şi animale sălbatice terestre, acvatice şi subterane, care trăiesc atât în ariile naturale protejate, cât şi în afara lor, sunt interzise: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 orice formă de recoltare, capturare, ucidere, distrugere sau vătămare a exemplarelor aflate în mediul lor natural,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b) perturbarea intenţionată în cursul perioadei de reproducere, de creştere, de hibernare şi de migraţie;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 deteriorarea, distrugerea şi /sau culegerea intenţionată a cuiburilor şi /sau ouălor din natură;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d) deteriorarea şi /sau distrugerea locurilor de reproducere ori de odihnă;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 recoltarea florilor şi a fructelor, culegerea, tăierea, dezrădăcinarea sau distrugerea cu intenţie a acestor plante în habitatele lor naturale,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bCs/>
          <w:sz w:val="28"/>
          <w:szCs w:val="28"/>
          <w:lang w:val="en-US" w:eastAsia="en-US"/>
        </w:rPr>
      </w:pPr>
      <w:r w:rsidRPr="00AF322F">
        <w:rPr>
          <w:rFonts w:ascii="Times New Roman" w:eastAsia="Calibri" w:hAnsi="Times New Roman" w:cs="Times New Roman"/>
          <w:bCs/>
          <w:sz w:val="28"/>
          <w:szCs w:val="28"/>
          <w:lang w:val="en-US" w:eastAsia="en-US"/>
        </w:rPr>
        <w:t>f) deţinerea, transportul, vânzarea sau schimburile în orice scop, precum şi oferirea spre schimb sau vânzare a exemplarelor luate din natură,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Fără a aduce atingere prevederilor art. 33, alin. 3 si 4 și ale art. 38 din O.U.G. nr. 57/2007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 uciderea sau capturarea intenţionată, indiferent de metoda utilizată;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b) deteriorarea, distrugerea şi /sau culegerea intenţionată a cuiburilor şi /sau ouălor din natură;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 culegerea ouălor din natură şi păstrarea acestora, chiar dacă sunt goale;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 deţinerea exemplarelor din speciile pentru care sunt interzise vânarea şi capturarea;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Cs/>
          <w:sz w:val="28"/>
          <w:szCs w:val="28"/>
          <w:lang w:val="en-US" w:eastAsia="en-US"/>
        </w:rPr>
        <w:t>f) vânzarea, deţinerea şi /sau transportul în scopul vânzării şi oferirii spre vânzare a acestora în stare vie ori moartă sau a oricăror părţi ori produse provenite de la acestea, uşor de identificat;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g) distrugerea sau deteriorarea locurilor de reproducere sau odihnă;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h) deranjarea păsărilor în timpul cuibăritului, culegerea ouălor sau a cuiburilor;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i) se interzice reducerea suprafeţei habitatelor care constituie sursă de hrană pentru speciile de păsări de interes comunitar.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8. Titularul activităţii are obligațiile: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să solicite și să obțină acordul de mediu pentru proiecte noi sau pentru modificarea ori extinderea activităților existente care pot avea impact semnificativ asupra mediului;</w:t>
      </w:r>
    </w:p>
    <w:p w:rsidR="00AF322F" w:rsidRPr="00AF322F" w:rsidRDefault="00AF322F" w:rsidP="00AF322F">
      <w:pPr>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en-US"/>
        </w:rPr>
      </w:pPr>
      <w:r w:rsidRPr="00AF322F">
        <w:rPr>
          <w:rFonts w:ascii="Times New Roman" w:eastAsia="Times New Roman" w:hAnsi="Times New Roman" w:cs="Times New Roman"/>
          <w:color w:val="000000"/>
          <w:sz w:val="28"/>
          <w:szCs w:val="28"/>
          <w:lang w:val="ro-RO" w:eastAsia="en-US"/>
        </w:rPr>
        <w:t>- să ia măsuri privind menținerea stării de salubritate şi a ordinii în incintă şi în zonă limitrofă obiectivului;</w:t>
      </w:r>
    </w:p>
    <w:p w:rsidR="00AF322F" w:rsidRPr="00AF322F" w:rsidRDefault="00AF322F" w:rsidP="00AF322F">
      <w:pPr>
        <w:suppressAutoHyphens/>
        <w:autoSpaceDE w:val="0"/>
        <w:autoSpaceDN w:val="0"/>
        <w:adjustRightInd w:val="0"/>
        <w:spacing w:after="0" w:line="240" w:lineRule="auto"/>
        <w:jc w:val="both"/>
        <w:rPr>
          <w:rFonts w:ascii="Times New Roman" w:eastAsia="Calibri" w:hAnsi="Times New Roman" w:cs="Times New Roman"/>
          <w:sz w:val="28"/>
          <w:szCs w:val="28"/>
          <w:lang w:val="ro-RO" w:eastAsia="en-US"/>
        </w:rPr>
      </w:pPr>
      <w:r w:rsidRPr="00AF322F">
        <w:rPr>
          <w:rFonts w:ascii="Calibri" w:eastAsia="Calibri" w:hAnsi="Calibri" w:cs="Times New Roman"/>
          <w:sz w:val="28"/>
          <w:szCs w:val="28"/>
          <w:lang w:val="en-US" w:eastAsia="en-US"/>
        </w:rPr>
        <w:t xml:space="preserve">- </w:t>
      </w:r>
      <w:r w:rsidRPr="00AF322F">
        <w:rPr>
          <w:rFonts w:ascii="Times New Roman" w:eastAsia="Calibri" w:hAnsi="Times New Roman" w:cs="Times New Roman"/>
          <w:sz w:val="28"/>
          <w:szCs w:val="28"/>
          <w:lang w:val="en-US" w:eastAsia="en-US"/>
        </w:rPr>
        <w:t>să se asigure că transportul deşeurilor se realizează numai cu mijloace de transport autorizate în acest sens, cu respectarea HG 1061/2008 privind transportul deşeurilor periculoase şi nepericuloase pe teritoriul României</w:t>
      </w:r>
      <w:r w:rsidRPr="00AF322F">
        <w:rPr>
          <w:rFonts w:ascii="Times New Roman" w:eastAsia="Calibri" w:hAnsi="Times New Roman" w:cs="Times New Roman"/>
          <w:sz w:val="28"/>
          <w:szCs w:val="28"/>
          <w:lang w:val="ro-RO"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motorina va fi achiziționată cu fișe cu date de securitate;</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en-US" w:eastAsia="en-US"/>
        </w:rPr>
        <w:t>- să iamăsurile corespunzătoare potrivit cunatura șiamploarea pericolelor previzibile, înscopul evitării pagubelor şialreducerii laminim aefectelor lor;</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sz w:val="28"/>
          <w:szCs w:val="28"/>
          <w:lang w:val="en-US" w:eastAsia="en-US"/>
        </w:rPr>
        <w:t>- să asigure condiţiile tehnice şiorganizatorice pentru activităţile efectuate, astfel încât săseprevină riscurile privind persoanele, bunurile sau mediul înconjurător;</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sz w:val="28"/>
          <w:szCs w:val="28"/>
          <w:lang w:val="en-US" w:eastAsia="en-US"/>
        </w:rPr>
        <w:t>- să întreţină şi săexploateze corespunzător instalaţiile şiamenajările pentru  protectia mediului;</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color w:val="000000"/>
          <w:sz w:val="28"/>
          <w:szCs w:val="28"/>
          <w:lang w:val="en-US" w:eastAsia="en-US"/>
        </w:rPr>
        <w:t>- personalul deexploatare vafiinstruitasupramăsurilor deprotecţie amediului, aobligaţiilor şi responsabilităţilor ce lerevin, precum şia condiţilor din actele de reglementare, învederea respectării legislaţieidemediuînvigoare;</w:t>
      </w:r>
    </w:p>
    <w:p w:rsidR="00AF322F" w:rsidRPr="00AF322F" w:rsidRDefault="00AF322F" w:rsidP="00AF322F">
      <w:pPr>
        <w:widowControl w:val="0"/>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 să asigure lucrările şidotările speciale, ce apar ca necesare pe parcursul desfăşurării activităţii, în vederea respectării prevederilor legale în domeniul protecţiei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evita poluarea fonică;</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ro-RO" w:eastAsia="en-US"/>
        </w:rPr>
        <w:t>- să</w:t>
      </w:r>
      <w:r w:rsidRPr="00AF322F">
        <w:rPr>
          <w:rFonts w:ascii="Times New Roman" w:eastAsia="Calibri" w:hAnsi="Times New Roman" w:cs="Times New Roman"/>
          <w:sz w:val="28"/>
          <w:szCs w:val="28"/>
          <w:lang w:val="en-US" w:eastAsia="en-US"/>
        </w:rPr>
        <w:t xml:space="preserve"> se conformeze modificărilor survenite în legislaţia de mediu, pe perioada valabilităţii autorizaţiei.</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cs="Times New Roman"/>
          <w:sz w:val="28"/>
          <w:szCs w:val="28"/>
          <w:lang w:val="en-US" w:eastAsia="en-US"/>
        </w:rPr>
        <w:t xml:space="preserve">9. </w:t>
      </w:r>
      <w:r w:rsidRPr="00AF322F">
        <w:rPr>
          <w:rFonts w:ascii="Times New Roman" w:hAnsi="Times New Roman"/>
          <w:color w:val="000000"/>
          <w:sz w:val="28"/>
          <w:szCs w:val="28"/>
          <w:lang w:val="en-US" w:eastAsia="en-US"/>
        </w:rPr>
        <w:t>Este interzisă abandonarea deşeurilor şidepozitarea deşeurilor generate direct pe sol; deşeurile sevorcolectaselectiv şisevor preda operatorilorautorizaţi învederea reciclării/valorificării saueliminării acestora.</w:t>
      </w:r>
    </w:p>
    <w:p w:rsidR="00AF322F" w:rsidRPr="00AF322F" w:rsidRDefault="00AF322F" w:rsidP="00AF322F">
      <w:pPr>
        <w:widowControl w:val="0"/>
        <w:tabs>
          <w:tab w:val="left" w:pos="9540"/>
          <w:tab w:val="left" w:pos="9630"/>
        </w:tabs>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10. Esteinterzisăpoluarea solului, subsolului, aapelor desuprafaţă și</w:t>
      </w:r>
      <w:r w:rsidRPr="00AF322F">
        <w:rPr>
          <w:rFonts w:ascii="Times New Roman" w:eastAsia="Calibri" w:hAnsi="Times New Roman" w:cs="Times New Roman"/>
          <w:color w:val="000000"/>
          <w:spacing w:val="-11"/>
          <w:sz w:val="28"/>
          <w:szCs w:val="28"/>
          <w:lang w:val="en-US" w:eastAsia="en-US"/>
        </w:rPr>
        <w:t xml:space="preserve">  s</w:t>
      </w:r>
      <w:r w:rsidRPr="00AF322F">
        <w:rPr>
          <w:rFonts w:ascii="Times New Roman" w:eastAsia="Calibri" w:hAnsi="Times New Roman" w:cs="Times New Roman"/>
          <w:color w:val="000000"/>
          <w:sz w:val="28"/>
          <w:szCs w:val="28"/>
          <w:lang w:val="en-US" w:eastAsia="en-US"/>
        </w:rPr>
        <w:t>ubterane, cât şiaatmosferei cureziduuri şiemisiinocive şialte substanţe dăunătoare saupericuloase pentrusănătatea oamenilor şiamediului.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11.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12. În situaţia în care actele de reglementare emise de alte autorităţi, ce au stat la baza emiterii prezentei autorizaţii, îşi pierd valabilitatea titularul are obligaţia reînnoirii acestora.</w:t>
      </w:r>
    </w:p>
    <w:p w:rsidR="00AF322F" w:rsidRPr="00AF322F" w:rsidRDefault="00AF322F" w:rsidP="00AF322F">
      <w:pPr>
        <w:widowControl w:val="0"/>
        <w:autoSpaceDE w:val="0"/>
        <w:autoSpaceDN w:val="0"/>
        <w:adjustRightInd w:val="0"/>
        <w:spacing w:after="0" w:line="240" w:lineRule="auto"/>
        <w:ind w:right="-8"/>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13. În caz de poluare accidentală, pentru zonele în care solul, subsolul şi ecosistemele terestre au fost afectate, se vor aplica măsuri de decontaminare - curăţare, remediere şi/sau reconstrucţie ecologică farăacreadisconfort dincauzazgomotului sauamirosurilor; se va proceda de asemenea la informarea deurgenţăaA.P.M.Neamţ şiapopulaţiei dinzonă.</w:t>
      </w:r>
    </w:p>
    <w:p w:rsidR="00AF322F" w:rsidRPr="00AF322F" w:rsidRDefault="00AF322F" w:rsidP="00AF322F">
      <w:pPr>
        <w:widowControl w:val="0"/>
        <w:autoSpaceDE w:val="0"/>
        <w:autoSpaceDN w:val="0"/>
        <w:adjustRightInd w:val="0"/>
        <w:spacing w:after="0" w:line="240" w:lineRule="auto"/>
        <w:ind w:right="-8"/>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14. În cazul producerii unui prejudiciu, titularul activităţii suportă costul pentru repararea prejudiciului şiînlătură urmările produse de acesta, restabilind condiţiile anterioare producerii prejudiciului, potrivitprincipiului ”poluatorul plătește”.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15. La epuizarea cantităţii de material aprobată prin Permisul de exploatare se vor executa lucrările prevăzute prin Planul de refacere a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nivelarea zonei de lucru în scopul eliminării golurilor rezultate în urma excavării agregatelor minerale, terenul urmând a fi înierbat;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vor fi dezafectate haldele de steril din vecinătatea perimetrului de exploatare.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16. Titularul activității este obligat să respecte în integralitate prevederile următoarelor acte normative: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Ordonanţa de Urgenţă a Guvernului nr.195/2005 privind protecţia mediului, aprobată cu modificări şi completări prin Legea nr.265/2006, cu modificările şi completările ulterioare din Legea nr. 219/2019;</w:t>
      </w:r>
    </w:p>
    <w:p w:rsidR="00AF322F" w:rsidRPr="00AF322F" w:rsidRDefault="00AF322F" w:rsidP="00AF322F">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Times New Roman" w:hAnsi="Times New Roman" w:cs="Times New Roman"/>
          <w:bCs/>
          <w:sz w:val="28"/>
          <w:szCs w:val="28"/>
          <w:lang w:val="en-US" w:eastAsia="en-US"/>
        </w:rPr>
        <w:t>- Ordin</w:t>
      </w:r>
      <w:r w:rsidRPr="00AF322F">
        <w:rPr>
          <w:rFonts w:ascii="Times New Roman" w:eastAsia="Calibri" w:hAnsi="Times New Roman" w:cs="Times New Roman"/>
          <w:sz w:val="28"/>
          <w:szCs w:val="28"/>
          <w:lang w:val="en-US" w:eastAsia="en-US"/>
        </w:rPr>
        <w:t xml:space="preserve"> M.M.D.D. nr.1798/2007 p</w:t>
      </w:r>
      <w:r w:rsidRPr="00AF322F">
        <w:rPr>
          <w:rFonts w:ascii="Times New Roman" w:eastAsia="Times New Roman" w:hAnsi="Times New Roman" w:cs="Times New Roman"/>
          <w:sz w:val="28"/>
          <w:szCs w:val="28"/>
          <w:lang w:val="en-US" w:eastAsia="en-US"/>
        </w:rPr>
        <w:t>entru aprobarea Procedurii de emitere a autorizaţiei de mediu</w:t>
      </w:r>
      <w:r w:rsidRPr="00AF322F">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ro-RO" w:eastAsia="en-US"/>
        </w:rPr>
        <w:t>cu modificările și completările din Ordinul M.M. nr.1171/2018</w:t>
      </w:r>
      <w:r w:rsidRPr="00AF322F">
        <w:rPr>
          <w:rFonts w:ascii="Times New Roman" w:eastAsia="Calibri" w:hAnsi="Times New Roman" w:cs="Times New Roman"/>
          <w:sz w:val="28"/>
          <w:szCs w:val="28"/>
          <w:lang w:val="en-US" w:eastAsia="en-US"/>
        </w:rPr>
        <w:t>;</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AF322F">
        <w:rPr>
          <w:rFonts w:ascii="Times New Roman" w:eastAsia="Calibri" w:hAnsi="Times New Roman" w:cs="Times New Roman"/>
          <w:sz w:val="28"/>
          <w:szCs w:val="28"/>
          <w:lang w:val="ro-RO" w:eastAsia="en-US"/>
        </w:rPr>
        <w:t xml:space="preserve">- Legea nr.31/2019 privind aprobarea </w:t>
      </w:r>
      <w:r w:rsidRPr="00AF322F">
        <w:rPr>
          <w:rFonts w:ascii="Times New Roman" w:eastAsia="Calibri" w:hAnsi="Times New Roman" w:cs="Times New Roman"/>
          <w:vanish/>
          <w:sz w:val="28"/>
          <w:szCs w:val="28"/>
          <w:lang w:val="ro-RO" w:eastAsia="en-US"/>
        </w:rPr>
        <w:t>&lt;LLNK 12018    74180 301   0 46&gt;</w:t>
      </w:r>
      <w:r w:rsidRPr="00AF322F">
        <w:rPr>
          <w:rFonts w:ascii="Times New Roman" w:eastAsia="Calibri" w:hAnsi="Times New Roman" w:cs="Times New Roman"/>
          <w:sz w:val="28"/>
          <w:szCs w:val="28"/>
          <w:lang w:val="ro-RO" w:eastAsia="en-US"/>
        </w:rPr>
        <w:t xml:space="preserve">Ordonanţei de Urgenţă a Guvernului nr.74/2018 pentru modificarea şi completarea </w:t>
      </w:r>
      <w:r w:rsidRPr="00AF322F">
        <w:rPr>
          <w:rFonts w:ascii="Times New Roman" w:eastAsia="Calibri" w:hAnsi="Times New Roman" w:cs="Times New Roman"/>
          <w:vanish/>
          <w:sz w:val="28"/>
          <w:szCs w:val="28"/>
          <w:lang w:val="ro-RO" w:eastAsia="en-US"/>
        </w:rPr>
        <w:t>&lt;LLNK 12011   211 13 221   0 18&gt;</w:t>
      </w:r>
      <w:r w:rsidRPr="00AF322F">
        <w:rPr>
          <w:rFonts w:ascii="Times New Roman" w:eastAsia="Calibri" w:hAnsi="Times New Roman" w:cs="Times New Roman"/>
          <w:sz w:val="28"/>
          <w:szCs w:val="28"/>
          <w:lang w:val="ro-RO" w:eastAsia="en-US"/>
        </w:rPr>
        <w:t>Legii nr.211/2011 privind regimul deşeurilor;</w:t>
      </w:r>
    </w:p>
    <w:p w:rsidR="00AF322F" w:rsidRPr="00AF322F" w:rsidRDefault="00AF322F" w:rsidP="00AF322F">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sz w:val="28"/>
          <w:szCs w:val="28"/>
          <w:lang w:val="en-US" w:eastAsia="en-US"/>
        </w:rPr>
        <w:t>- H.G. nr.856/2002 privind evidența gestiunii deșeurilor și pentru aprobarea listei cuprinzând deșeurile, inclusiv deșeurile periculoase,</w:t>
      </w:r>
      <w:r w:rsidRPr="00AF322F">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AF322F">
        <w:rPr>
          <w:rFonts w:ascii="Times New Roman" w:eastAsia="Calibri" w:hAnsi="Times New Roman" w:cs="Times New Roman"/>
          <w:sz w:val="28"/>
          <w:szCs w:val="28"/>
          <w:lang w:val="ro-RO" w:eastAsia="en-US"/>
        </w:rPr>
        <w:t xml:space="preserve">Decizia Comisiei </w:t>
      </w:r>
      <w:r w:rsidRPr="00AF322F">
        <w:rPr>
          <w:rFonts w:ascii="Times New Roman" w:eastAsia="Calibri" w:hAnsi="Times New Roman" w:cs="Times New Roman"/>
          <w:bCs/>
          <w:sz w:val="28"/>
          <w:szCs w:val="28"/>
          <w:lang w:val="ro-RO" w:eastAsia="en-US"/>
        </w:rPr>
        <w:t>2014/955/UE din 18 decembrie 2014</w:t>
      </w:r>
      <w:r w:rsidRPr="00AF322F">
        <w:rPr>
          <w:rFonts w:ascii="Times New Roman" w:eastAsia="Calibri" w:hAnsi="Times New Roman" w:cs="Times New Roman"/>
          <w:bCs/>
          <w:color w:val="000000"/>
          <w:sz w:val="28"/>
          <w:szCs w:val="28"/>
          <w:lang w:val="ro-RO" w:eastAsia="en-US"/>
        </w:rPr>
        <w:t xml:space="preserv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nr.164/2008 privind modificarea și completarea O.U.G. nr.195/2005 privind protecția mediului, aprobată cu modificări și completări prin Legea nr.226/2013, cu modificările și completările ulterioare din O.U.G. nr.75/19.07.2018;</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nr.68/2007 privind răspunderea de mediu cu referire la prevenirea și repararea prejudiciului asupra mediului, aprobată prin Legea nr.18/2008;</w:t>
      </w:r>
    </w:p>
    <w:p w:rsidR="00AF322F" w:rsidRPr="00AF322F" w:rsidRDefault="00AF322F" w:rsidP="00AF322F">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Legea nr.31/2019 privind aprobarea O.U.G. nr.74/2018 pentru modificarea </w:t>
      </w:r>
      <w:r w:rsidRPr="00AF322F">
        <w:rPr>
          <w:rFonts w:ascii="Times New Roman" w:eastAsia="Calibri" w:hAnsi="Times New Roman" w:cs="Times New Roman"/>
          <w:sz w:val="28"/>
          <w:szCs w:val="28"/>
          <w:lang w:val="ro-RO" w:eastAsia="en-US"/>
        </w:rPr>
        <w:t xml:space="preserve">și completarea </w:t>
      </w:r>
      <w:r w:rsidRPr="00AF322F">
        <w:rPr>
          <w:rFonts w:ascii="Times New Roman" w:eastAsia="Calibri" w:hAnsi="Times New Roman" w:cs="Times New Roman"/>
          <w:sz w:val="28"/>
          <w:szCs w:val="28"/>
          <w:lang w:val="en-US" w:eastAsia="en-US"/>
        </w:rPr>
        <w:t>Legii nr.211/2011 privind regimul deşeurilor;</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AF322F">
        <w:rPr>
          <w:rFonts w:ascii="Times New Roman" w:eastAsia="Calibri" w:hAnsi="Times New Roman" w:cs="Times New Roman"/>
          <w:bCs/>
          <w:color w:val="000000" w:themeColor="text1"/>
          <w:sz w:val="28"/>
          <w:szCs w:val="28"/>
          <w:lang w:val="en-US" w:eastAsia="en-US"/>
        </w:rPr>
        <w:t xml:space="preserve">- Legea nr.249/2015 </w:t>
      </w:r>
      <w:r w:rsidRPr="00AF322F">
        <w:rPr>
          <w:rFonts w:ascii="Times New Roman" w:eastAsia="Calibri" w:hAnsi="Times New Roman" w:cs="Times New Roman"/>
          <w:color w:val="000000" w:themeColor="text1"/>
          <w:sz w:val="28"/>
          <w:szCs w:val="28"/>
          <w:lang w:val="en-US" w:eastAsia="en-US"/>
        </w:rPr>
        <w:t>privind modalitatea de gestionare a ambalajelor şi a deşeurilor de ambalaje;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Ordinul Ministrului Sănătăţii nr.994/2018 pentru modificarea și completarea Normelor de igienă și sănătate publică privind mediul de viață al populației, aprobate prin Ordinului Ministrului Sănătății nr.119/2014;</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Ordinul  Ministrului Apelor, Pădurilor și Protecției Mediului nr.756/1997 pentru aprobarea Reglementării privind evaluarea poluării mediului;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H.G. nr.1061/2008 privind transportul deşeurilor periculoase şi nepericuloase pe teritoriul României;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Legea nr.104/2011 privind calitatea aerului înconjurător;</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 SR 10009/2017 privind nivelul de zgomot echivalent continuu la limita incintei obiectivului ;</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Cs/>
          <w:sz w:val="28"/>
          <w:szCs w:val="28"/>
          <w:lang w:val="ro-RO" w:eastAsia="en-US"/>
        </w:rPr>
      </w:pPr>
      <w:r w:rsidRPr="00AF322F">
        <w:rPr>
          <w:rFonts w:ascii="Times New Roman" w:eastAsia="Calibri" w:hAnsi="Times New Roman" w:cs="Times New Roman"/>
          <w:bCs/>
          <w:sz w:val="28"/>
          <w:szCs w:val="28"/>
          <w:lang w:val="ro-RO" w:eastAsia="en-US"/>
        </w:rPr>
        <w:t>- Ordinul Ministrului Mediului și Pădurilor nr.3299/2012 pentru aprobarea metodologiei de realizare și raportare a inventarelor privind emisiile de poluanți în atmosferă;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Legea nr.105/2006 pentru aprobarea O.U.G. nr.196/2005 privind Fondul pentru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 57 /2007 privind regimul ariilor naturale protejate, conservarea habitatelor naturale, a florei și faunei sălbatice, aprobată cu modificări și completări prin Legea nr. 49 /2011 (modificată și completată de O.U.G. nr. 75 /19.07.2018).</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17. Se va p</w:t>
      </w:r>
      <w:r w:rsidRPr="00AF322F">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
          <w:iCs/>
          <w:color w:val="000000"/>
          <w:sz w:val="28"/>
          <w:szCs w:val="28"/>
          <w:lang w:val="ro-RO" w:eastAsia="en-US"/>
        </w:rPr>
      </w:pPr>
      <w:r w:rsidRPr="00AF322F">
        <w:rPr>
          <w:rFonts w:ascii="Times New Roman" w:eastAsia="Calibri" w:hAnsi="Times New Roman" w:cs="Times New Roman"/>
          <w:b/>
          <w:iCs/>
          <w:color w:val="000000"/>
          <w:sz w:val="28"/>
          <w:szCs w:val="28"/>
          <w:lang w:val="ro-RO" w:eastAsia="en-US"/>
        </w:rPr>
        <w:t>Litigiile generate de emiterea, revizuirea, suspendarea sau anularea prezentei autorizaţii se soluţionează de instanţele de contencios administrativ competente, potrivit Legii contenciosului administrativ nr. 554 /2004, modificată şi completată prin Legea nr. 262/2007.</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
          <w:color w:val="000000"/>
          <w:sz w:val="28"/>
          <w:szCs w:val="28"/>
          <w:lang w:val="ro-RO" w:eastAsia="ro-RO"/>
        </w:rPr>
      </w:pPr>
      <w:r w:rsidRPr="00AF322F">
        <w:rPr>
          <w:rFonts w:ascii="Times New Roman" w:eastAsia="Calibri" w:hAnsi="Times New Roman" w:cs="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16 alin. </w:t>
      </w:r>
      <w:r w:rsidRPr="00AF322F">
        <w:rPr>
          <w:rFonts w:ascii="Times New Roman" w:eastAsia="Calibri" w:hAnsi="Times New Roman" w:cs="Times New Roman"/>
          <w:b/>
          <w:sz w:val="28"/>
          <w:szCs w:val="28"/>
          <w:lang w:val="en-US" w:eastAsia="en-US"/>
        </w:rPr>
        <w:t xml:space="preserve">(2^1) din Legea nr.219/2019. </w:t>
      </w:r>
    </w:p>
    <w:p w:rsidR="00AF322F" w:rsidRPr="00AF322F" w:rsidRDefault="00AF322F" w:rsidP="00AF322F">
      <w:pPr>
        <w:spacing w:after="0" w:line="240" w:lineRule="auto"/>
        <w:jc w:val="both"/>
        <w:rPr>
          <w:rFonts w:ascii="Times New Roman" w:eastAsia="Times New Roman"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Conform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Ordinului M.M.A.P. nr. 1.150 /2020, art. 5 d)(4),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AF322F" w:rsidRPr="00AF322F" w:rsidRDefault="00AF322F" w:rsidP="00AF322F">
      <w:pPr>
        <w:spacing w:after="0" w:line="240" w:lineRule="auto"/>
        <w:jc w:val="both"/>
        <w:rPr>
          <w:rFonts w:ascii="Times New Roman" w:eastAsia="Calibri" w:hAnsi="Times New Roman" w:cs="Times New Roman"/>
          <w:b/>
          <w:bCs/>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ro-RO" w:eastAsia="en-US"/>
        </w:rPr>
      </w:pPr>
      <w:r w:rsidRPr="00AF322F">
        <w:rPr>
          <w:rFonts w:ascii="Times New Roman" w:eastAsia="Calibri" w:hAnsi="Times New Roman" w:cs="Times New Roman"/>
          <w:b/>
          <w:bCs/>
          <w:sz w:val="28"/>
          <w:szCs w:val="28"/>
          <w:lang w:val="ro-RO" w:eastAsia="en-US"/>
        </w:rPr>
        <w:t xml:space="preserve">I. </w:t>
      </w:r>
      <w:r w:rsidRPr="00AF322F">
        <w:rPr>
          <w:rFonts w:ascii="Times New Roman" w:eastAsia="Calibri" w:hAnsi="Times New Roman" w:cs="Times New Roman"/>
          <w:b/>
          <w:bCs/>
          <w:sz w:val="28"/>
          <w:szCs w:val="28"/>
          <w:u w:val="single"/>
          <w:lang w:val="ro-RO" w:eastAsia="en-US"/>
        </w:rPr>
        <w:t>Activitatea autorizată</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b/>
          <w:sz w:val="28"/>
          <w:szCs w:val="28"/>
          <w:lang w:val="en-US" w:eastAsia="en-US"/>
        </w:rPr>
        <w:t>1. Dotări</w:t>
      </w:r>
      <w:r w:rsidRPr="00AF322F">
        <w:rPr>
          <w:rFonts w:ascii="Times New Roman" w:eastAsia="Calibri" w:hAnsi="Times New Roman" w:cs="Times New Roman"/>
          <w:sz w:val="28"/>
          <w:szCs w:val="28"/>
          <w:lang w:val="en-US" w:eastAsia="en-US"/>
        </w:rPr>
        <w:t>: Suprafaţă perimetru de extracţie balast S= 100125 mp, cu L</w:t>
      </w:r>
      <w:r w:rsidRPr="00AF322F">
        <w:rPr>
          <w:rFonts w:ascii="Times New Roman" w:eastAsia="Calibri" w:hAnsi="Times New Roman" w:cs="Times New Roman"/>
          <w:sz w:val="28"/>
          <w:szCs w:val="28"/>
          <w:vertAlign w:val="subscript"/>
          <w:lang w:val="en-US" w:eastAsia="en-US"/>
        </w:rPr>
        <w:t>med</w:t>
      </w:r>
      <w:r w:rsidRPr="00AF322F">
        <w:rPr>
          <w:rFonts w:ascii="Times New Roman" w:eastAsia="Calibri" w:hAnsi="Times New Roman" w:cs="Times New Roman"/>
          <w:sz w:val="28"/>
          <w:szCs w:val="28"/>
          <w:lang w:val="en-US" w:eastAsia="en-US"/>
        </w:rPr>
        <w:t>= 2069,66 m și l</w:t>
      </w:r>
      <w:r w:rsidRPr="00AF322F">
        <w:rPr>
          <w:rFonts w:ascii="Times New Roman" w:eastAsia="Calibri" w:hAnsi="Times New Roman" w:cs="Times New Roman"/>
          <w:sz w:val="28"/>
          <w:szCs w:val="28"/>
          <w:vertAlign w:val="subscript"/>
          <w:lang w:val="en-US" w:eastAsia="en-US"/>
        </w:rPr>
        <w:t>med</w:t>
      </w:r>
      <w:r w:rsidRPr="00AF322F">
        <w:rPr>
          <w:rFonts w:ascii="Times New Roman" w:eastAsia="Calibri" w:hAnsi="Times New Roman" w:cs="Times New Roman"/>
          <w:sz w:val="28"/>
          <w:szCs w:val="28"/>
          <w:lang w:val="en-US" w:eastAsia="en-US"/>
        </w:rPr>
        <w:t xml:space="preserve">= 65,41 m, pentru care s-a încheiat </w:t>
      </w:r>
      <w:r w:rsidRPr="00AF322F">
        <w:rPr>
          <w:rFonts w:ascii="Times New Roman" w:eastAsia="Calibri" w:hAnsi="Times New Roman" w:cs="Times New Roman"/>
          <w:color w:val="000000"/>
          <w:sz w:val="28"/>
          <w:szCs w:val="28"/>
          <w:lang w:val="en-US" w:eastAsia="en-US"/>
        </w:rPr>
        <w:t>Contractul de închiriere nr. 284 /403 /13.12.2018 între Administrația Bazinală de Apă Siret Bacău și SC MAVGO HOLDING SRL.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Perimetrul ”Tîrgu Neamț 1” este amplasat în albia minoră a râului Ozana, centrul albiei, în extravilanul orașului Tîrgu Neamț. În zona amonte a perimetrului, la 1,94 km există o punte pietonală, pe teritoriul comunei Vînători Neamț. În aval de perimetru, la 1053,43 km se află podul rutier de pe DN 15B Poiana Largului – Tîrgu Neamț. Perimetrul se află în dreptul digurilor de apărare mal drept și mal stâng.</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Extracţia agregatelor se va realiza mecanizat în c</w:t>
      </w:r>
      <w:r w:rsidR="005F7389">
        <w:rPr>
          <w:rFonts w:ascii="Times New Roman" w:eastAsia="Calibri" w:hAnsi="Times New Roman" w:cs="Times New Roman"/>
          <w:sz w:val="28"/>
          <w:szCs w:val="28"/>
          <w:lang w:val="en-US" w:eastAsia="en-US"/>
        </w:rPr>
        <w:t>â</w:t>
      </w:r>
      <w:r w:rsidRPr="00AF322F">
        <w:rPr>
          <w:rFonts w:ascii="Times New Roman" w:eastAsia="Calibri" w:hAnsi="Times New Roman" w:cs="Times New Roman"/>
          <w:sz w:val="28"/>
          <w:szCs w:val="28"/>
          <w:lang w:val="en-US" w:eastAsia="en-US"/>
        </w:rPr>
        <w:t>mp continuu, în incinta perimetrului închiriat, în limitele punctelor ce delimitează perimetrul, fără a produce denivelări și gropi în perimetru; extracția se va realiza în fâșii longitudinale, succesive și paralele cu malul, din aval spre amonte și dinspre limita stângă a perimetrului spre malul drept. Tehnologia de exploatare va fi prin șenilare, fiind create 2 șenale cu următoarele dimensiuni:</w:t>
      </w:r>
    </w:p>
    <w:p w:rsidR="00AF322F" w:rsidRPr="00AF322F" w:rsidRDefault="00AF322F" w:rsidP="00AF322F">
      <w:pPr>
        <w:numPr>
          <w:ilvl w:val="0"/>
          <w:numId w:val="35"/>
        </w:numPr>
        <w:spacing w:after="0" w:line="240" w:lineRule="auto"/>
        <w:contextualSpacing/>
        <w:jc w:val="both"/>
        <w:rPr>
          <w:rFonts w:ascii="Times New Roman" w:eastAsiaTheme="minorHAnsi" w:hAnsi="Times New Roman" w:cs="Times New Roman"/>
          <w:sz w:val="28"/>
          <w:szCs w:val="28"/>
          <w:lang w:val="en-US" w:eastAsia="en-US"/>
        </w:rPr>
      </w:pPr>
      <w:r w:rsidRPr="00AF322F">
        <w:rPr>
          <w:rFonts w:ascii="Times New Roman" w:eastAsiaTheme="minorHAnsi" w:hAnsi="Times New Roman" w:cs="Times New Roman"/>
          <w:sz w:val="28"/>
          <w:szCs w:val="28"/>
          <w:lang w:val="en-US" w:eastAsia="en-US"/>
        </w:rPr>
        <w:t>șenalul 1: L=616 m, l=10 m, h=0,64 m;</w:t>
      </w:r>
    </w:p>
    <w:p w:rsidR="00AF322F" w:rsidRPr="00AF322F" w:rsidRDefault="00AF322F" w:rsidP="00AF322F">
      <w:pPr>
        <w:numPr>
          <w:ilvl w:val="0"/>
          <w:numId w:val="35"/>
        </w:numPr>
        <w:spacing w:after="0" w:line="240" w:lineRule="auto"/>
        <w:contextualSpacing/>
        <w:jc w:val="both"/>
        <w:rPr>
          <w:rFonts w:ascii="Times New Roman" w:eastAsiaTheme="minorHAnsi" w:hAnsi="Times New Roman" w:cs="Times New Roman"/>
          <w:sz w:val="28"/>
          <w:szCs w:val="28"/>
          <w:lang w:val="en-US" w:eastAsia="en-US"/>
        </w:rPr>
      </w:pPr>
      <w:r w:rsidRPr="00AF322F">
        <w:rPr>
          <w:rFonts w:ascii="Times New Roman" w:eastAsiaTheme="minorHAnsi" w:hAnsi="Times New Roman" w:cs="Times New Roman"/>
          <w:sz w:val="28"/>
          <w:szCs w:val="28"/>
          <w:lang w:val="en-US" w:eastAsia="en-US"/>
        </w:rPr>
        <w:t>șenalul 2: L=446 m, l=10 m, h=0,77 m.</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Se vor executa din material local:</w:t>
      </w:r>
    </w:p>
    <w:p w:rsidR="00AF322F" w:rsidRPr="00AF322F" w:rsidRDefault="00AF322F" w:rsidP="00AF322F">
      <w:pPr>
        <w:numPr>
          <w:ilvl w:val="0"/>
          <w:numId w:val="36"/>
        </w:numPr>
        <w:spacing w:after="0" w:line="240" w:lineRule="auto"/>
        <w:contextualSpacing/>
        <w:jc w:val="both"/>
        <w:rPr>
          <w:rFonts w:ascii="Times New Roman" w:eastAsiaTheme="minorHAnsi" w:hAnsi="Times New Roman" w:cs="Times New Roman"/>
          <w:sz w:val="28"/>
          <w:szCs w:val="28"/>
          <w:lang w:val="en-US" w:eastAsia="en-US"/>
        </w:rPr>
      </w:pPr>
      <w:r w:rsidRPr="00AF322F">
        <w:rPr>
          <w:rFonts w:ascii="Times New Roman" w:eastAsiaTheme="minorHAnsi" w:hAnsi="Times New Roman" w:cs="Times New Roman"/>
          <w:sz w:val="28"/>
          <w:szCs w:val="28"/>
          <w:lang w:val="en-US" w:eastAsia="en-US"/>
        </w:rPr>
        <w:t>3 diguri provizorii de închidere (digul 1 – L=28 m, executat în dreptul profilului P59, digul 2 – L=35 m, în dreptul profilului P50, digul 3 – L=74 m, în dreptul profilelor P39 – P37);</w:t>
      </w:r>
    </w:p>
    <w:p w:rsidR="00AF322F" w:rsidRPr="00AF322F" w:rsidRDefault="00AF322F" w:rsidP="00AF322F">
      <w:pPr>
        <w:numPr>
          <w:ilvl w:val="0"/>
          <w:numId w:val="36"/>
        </w:numPr>
        <w:spacing w:after="0" w:line="240" w:lineRule="auto"/>
        <w:contextualSpacing/>
        <w:jc w:val="both"/>
        <w:rPr>
          <w:rFonts w:ascii="Times New Roman" w:eastAsiaTheme="minorHAnsi" w:hAnsi="Times New Roman" w:cs="Times New Roman"/>
          <w:sz w:val="28"/>
          <w:szCs w:val="28"/>
          <w:lang w:val="en-US" w:eastAsia="en-US"/>
        </w:rPr>
      </w:pPr>
      <w:r w:rsidRPr="00AF322F">
        <w:rPr>
          <w:rFonts w:ascii="Times New Roman" w:eastAsiaTheme="minorHAnsi" w:hAnsi="Times New Roman" w:cs="Times New Roman"/>
          <w:sz w:val="28"/>
          <w:szCs w:val="28"/>
          <w:lang w:val="en-US" w:eastAsia="en-US"/>
        </w:rPr>
        <w:t>3 diguri definitive de închidere (digul 1 – L=141 m, executat în dreptul profilelor P38 – P41, digul 2 – L=29 m, în dreptul profilului P51, digul 3 – L=43 m, în dreptul profilului P66) care vor dirija cursul râului pe un șenal nou creat.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Adâncimea medie de exploatare va fi de 0,79 m, iar adâncimea maximă de exploatare va fi de 1,68 m (în dreptul profilului transversal P70), fără a coborî sub cota talvegului natural al râului.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Pilieri de siguranţă: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- 1940 m față de puntea pietonală din amonte;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- 1053,43 m față de podul peste râul Ozana de pe DN 15B Poiana Largului – Târgu Neamț;</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- 25,67 m, în capătul amonte al perimetrului (punct 5), față de axul digului existent pe malul stâng al râului;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- 37,07 m, în zona punctului 4, față de axul digului existent pe malul stâng al râului;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- 48,93 m, în zona punctului 2, față de axul digului existent pe malul stâng al râului;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- 91,88 m, în zona punctului 1 (capătul aval), față de axul digului existent pe malul stâng al râului.</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Accesul în perimetrul de exploatare: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din zona podului peste râul Ozana de pe DN 15B Poiana Largului – Târgu Neamț, pe strada Nemțișor și în continuare pe un drum de exploatare sătesc din satul Vînători neamț, existent pe malul drept al râului Ozana, zona UMTCF. Pentru accesul la perimetrul amplasat pe centrul albiei, se vor amenaja (în interiorul perimetrului) 4 treceri provizorii din tuburi PREMO cu D=800 mm și L=6 m. Acestea se vor realiza simultan cu execuția șenalului: T1 între profilele P43 și P42; T2 între profilele P47 și P46; T3 între profilele P54 și P53; T4 între profilele P62 și P61. La finalizarea exploatării sau la debite medii și mari tuburile vor fi scoase din albie; drumul de acces va fi întreținut de beneficiarul lucrărilor (SC MAVGO HOLDING SRL). </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Balastul extras va fi încărcat direct în autobasculante şi transportat la staţii de sortare sau la beneficiari în aceeaşi zi.  </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Extracţia se va realiza în limitele perimetrului avizat conform punctelor de contur în coordonate STEREO 70:     </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Punct</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X</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Y</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1</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636371</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600566</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2</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635636</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601039</w:t>
            </w:r>
          </w:p>
        </w:tc>
      </w:tr>
      <w:tr w:rsidR="00AF322F" w:rsidRPr="00AF322F" w:rsidTr="00CE6D91">
        <w:trPr>
          <w:jc w:val="center"/>
        </w:trPr>
        <w:tc>
          <w:tcPr>
            <w:tcW w:w="1056" w:type="dxa"/>
          </w:tcPr>
          <w:p w:rsidR="00AF322F" w:rsidRPr="00AF322F" w:rsidRDefault="00AF322F" w:rsidP="00AF322F">
            <w:pPr>
              <w:jc w:val="center"/>
              <w:rPr>
                <w:sz w:val="28"/>
                <w:szCs w:val="28"/>
                <w:lang w:val="ro-RO" w:eastAsia="pl-PL"/>
              </w:rPr>
            </w:pPr>
            <w:r w:rsidRPr="00AF322F">
              <w:rPr>
                <w:sz w:val="28"/>
                <w:szCs w:val="28"/>
                <w:lang w:val="pl-PL" w:eastAsia="pl-PL"/>
              </w:rPr>
              <w:t>3</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635274</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601538</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4</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634941</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602013</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5</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634935</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601922</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6</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635406</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601245</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7</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635414</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601217</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8</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635611</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601006</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9</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636291</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600570</w:t>
            </w:r>
          </w:p>
        </w:tc>
      </w:tr>
      <w:tr w:rsidR="00AF322F" w:rsidRPr="00AF322F" w:rsidTr="00CE6D91">
        <w:trPr>
          <w:jc w:val="center"/>
        </w:trPr>
        <w:tc>
          <w:tcPr>
            <w:tcW w:w="4431" w:type="dxa"/>
            <w:gridSpan w:val="3"/>
          </w:tcPr>
          <w:p w:rsidR="00AF322F" w:rsidRPr="00AF322F" w:rsidRDefault="00AF322F" w:rsidP="00AF322F">
            <w:pPr>
              <w:jc w:val="center"/>
              <w:rPr>
                <w:sz w:val="28"/>
                <w:szCs w:val="28"/>
                <w:lang w:val="pl-PL" w:eastAsia="pl-PL"/>
              </w:rPr>
            </w:pPr>
            <w:r w:rsidRPr="00AF322F">
              <w:rPr>
                <w:sz w:val="28"/>
                <w:szCs w:val="28"/>
                <w:lang w:val="pl-PL" w:eastAsia="pl-PL"/>
              </w:rPr>
              <w:t>S= 100125 mp</w:t>
            </w:r>
          </w:p>
        </w:tc>
      </w:tr>
    </w:tbl>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Utilaje</w:t>
      </w:r>
      <w:r w:rsidRPr="00AF322F">
        <w:rPr>
          <w:rFonts w:ascii="Times New Roman" w:eastAsia="Calibri" w:hAnsi="Times New Roman" w:cs="Times New Roman"/>
          <w:sz w:val="28"/>
          <w:szCs w:val="28"/>
          <w:lang w:val="en-US" w:eastAsia="en-US"/>
        </w:rPr>
        <w:t xml:space="preserve">: excavator, buldozer, încărcător frontal, autobasculante.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2. Materii prime, auxiliare, combustibili şi ambalaje folosite – mod de ambalare, de depozitare, cantităţi </w:t>
      </w:r>
      <w:r w:rsidRPr="00AF322F">
        <w:rPr>
          <w:rFonts w:ascii="Times New Roman" w:eastAsia="Calibri" w:hAnsi="Times New Roman" w:cs="Times New Roman"/>
          <w:sz w:val="28"/>
          <w:szCs w:val="28"/>
          <w:lang w:val="en-US" w:eastAsia="en-US"/>
        </w:rPr>
        <w:t>:   balast brut (89500 mc /an conform Permisului de exploatare nr. 22626</w:t>
      </w:r>
      <w:r w:rsidRPr="00AF322F">
        <w:rPr>
          <w:rFonts w:ascii="Times New Roman" w:eastAsia="Calibri" w:hAnsi="Times New Roman" w:cs="Times New Roman"/>
          <w:sz w:val="28"/>
          <w:szCs w:val="28"/>
          <w:lang w:val="fr-FR" w:eastAsia="en-US"/>
        </w:rPr>
        <w:t xml:space="preserve"> /06.04.2020</w:t>
      </w:r>
      <w:r w:rsidRPr="00AF322F">
        <w:rPr>
          <w:rFonts w:ascii="Times New Roman" w:eastAsia="Calibri" w:hAnsi="Times New Roman" w:cs="Times New Roman"/>
          <w:sz w:val="28"/>
          <w:szCs w:val="28"/>
          <w:lang w:val="en-US" w:eastAsia="en-US"/>
        </w:rPr>
        <w:t xml:space="preserve">), motorină, vaselină, ulei de motor.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3. Utilităţi – apă, canalizare, energie (surse, cantităţi, volume)</w:t>
      </w:r>
      <w:r w:rsidRPr="00AF322F">
        <w:rPr>
          <w:rFonts w:ascii="Times New Roman" w:eastAsia="Calibri" w:hAnsi="Times New Roman" w:cs="Times New Roman"/>
          <w:sz w:val="28"/>
          <w:szCs w:val="28"/>
          <w:lang w:val="en-US" w:eastAsia="en-US"/>
        </w:rPr>
        <w:t xml:space="preserv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nu sunt necesare.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4. Descrierea principalelor faze ale procesului tehnologic sau ale activităţii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extracţie agregate minerale, prin retragere din aval spre amonte, în fâșii longitudinale paralele cu râul, în limitele perimetrului bornat conform sistemului de referință STEREO 70, în scopul regularizării, decolmatării și dirijării curentului principal pe centrul albiei cu mărirea secțiunii de scurgere, reducerea eroziunii malurilor și stabilizării talvegului.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MAVGO HOLDING SRL; balastul va fi încărcat în autobasculante şi transportat, în aceeaşi zi, în staţia de sortare – spălare sau la beneficiari.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5. Produsele şi subprodusele obţinute – cantităţi, destinaţie /an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balast brut (89500 mc /an pe perioada de valabilitate a Permisului de exploatare).</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6. Date referitoare la centrala termică proprie – dotare, combustibili,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utilizaţi (compoziţie,cantităţi), producţie:</w:t>
      </w:r>
      <w:r w:rsidRPr="00AF322F">
        <w:rPr>
          <w:rFonts w:ascii="Times New Roman" w:eastAsia="Calibri" w:hAnsi="Times New Roman" w:cs="Times New Roman"/>
          <w:sz w:val="28"/>
          <w:szCs w:val="28"/>
          <w:lang w:val="en-US" w:eastAsia="en-US"/>
        </w:rPr>
        <w:t xml:space="preserve"> nu are în dotare.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7. Alte date specifice activităţii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Alte activităţi desfăşurate, nesupuse autorizării conform prevederilor Ordinului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M.M.D.D. nr.1798 /2007: nu sunt.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8. Programul de funcţionare – ore /zi, zile /săptămână, zile /an:</w:t>
      </w:r>
      <w:r w:rsidRPr="00AF322F">
        <w:rPr>
          <w:rFonts w:ascii="Times New Roman" w:eastAsia="Calibri" w:hAnsi="Times New Roman" w:cs="Times New Roman"/>
          <w:sz w:val="28"/>
          <w:szCs w:val="28"/>
          <w:lang w:val="en-US" w:eastAsia="en-US"/>
        </w:rPr>
        <w:t>8 /6 /300 (schimbul I).</w:t>
      </w: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en-US" w:eastAsia="en-US"/>
        </w:rPr>
      </w:pPr>
      <w:r w:rsidRPr="00AF322F">
        <w:rPr>
          <w:rFonts w:ascii="Times New Roman" w:eastAsia="Calibri" w:hAnsi="Times New Roman" w:cs="Times New Roman"/>
          <w:b/>
          <w:bCs/>
          <w:sz w:val="28"/>
          <w:szCs w:val="28"/>
          <w:lang w:val="en-US" w:eastAsia="en-US"/>
        </w:rPr>
        <w:t xml:space="preserve">II. </w:t>
      </w:r>
      <w:r w:rsidRPr="00AF322F">
        <w:rPr>
          <w:rFonts w:ascii="Times New Roman" w:eastAsia="Calibri" w:hAnsi="Times New Roman" w:cs="Times New Roman"/>
          <w:b/>
          <w:bCs/>
          <w:sz w:val="28"/>
          <w:szCs w:val="28"/>
          <w:u w:val="single"/>
          <w:lang w:val="en-US" w:eastAsia="en-US"/>
        </w:rPr>
        <w:t>Instalaţiile, măsurile şi condiţiile de protecţie a mediului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1. Staţiile şi instalaţiile pentru reţinerea, evacuarea şi dispersia poluanţilor</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în mediu din dotare (pe factori de mediu)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calităţii apelor</w:t>
      </w:r>
      <w:r w:rsidRPr="00AF322F">
        <w:rPr>
          <w:rFonts w:ascii="Times New Roman" w:eastAsia="Calibri" w:hAnsi="Times New Roman" w:cs="Times New Roman"/>
          <w:sz w:val="28"/>
          <w:szCs w:val="28"/>
          <w:lang w:val="en-US" w:eastAsia="en-US"/>
        </w:rPr>
        <w:t>: nu rezultă ape uzate;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impune respectarea următoarelor măsuri: depozitarea şi manipularea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corespunzătoare a deşeurilor şi combustibililor; parcarea utilajelor şi mijloacelor auto în locuri special amenajate.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aerului</w:t>
      </w:r>
      <w:r w:rsidRPr="00AF322F">
        <w:rPr>
          <w:rFonts w:ascii="Times New Roman" w:eastAsia="Calibri" w:hAnsi="Times New Roman" w:cs="Times New Roman"/>
          <w:sz w:val="28"/>
          <w:szCs w:val="28"/>
          <w:lang w:val="en-US" w:eastAsia="en-US"/>
        </w:rPr>
        <w:t>: emisii de praf generate de transportul auto şi noxe de la mijloacele auto şi utilaje;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impune circulaţia mijloacelor de transport cu viteză redusă, căile de acces vor fi întreţinute prin nivelare şi stropire cu apă;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verifica periodic starea de funcţionare a mijloacelor auto şi utilajelor în vederea reducerii noxelor evacuate.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solului, subsolului şi gestiunea deşeurilor</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eventualele deşeuri rezultate se vor depozita în recipienţi speciali fiind predaţi la centre de colectare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alimentarea cu carburanţi se va realiza cu luarea măsurilor de evitare a poluării solului; operaţiile de reparare - întreţinere  a mijloacelor de transport şi utilajelor se vor efectua în spaţii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după realizarea excavaţiilor se vor executa lucrările de refacere a mediului prevăzute prin Planul de refacere a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împotriva zgomotului şi vibraţiilor</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2. Alte amenajări speciale, dotări şi măsuri pentru protecţia mediului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nu este cazul.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3. Concentraţiile şi debitele masice de poluanţi, nivelul de zgomot, de radiaţii, admise la evacuarea în mediu, depăşiri permise şi în ce condiţii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încadrarea nivelului de zgomot în zonele protejate în prevederile Ordinului ministrului sănătăţii nr. 994 /2018 (de modificare și completare a Ordinului ministrului sănătății nr.119 /2014);</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încadrarea valorilor de referinţă privind poluarea solului în prevederile Ordinului nr.756 /1997 a MAPPM;</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încadrarea indicatorilor de calitate privind protecţia atmosferei în prevederile Legii nr. 104  /2011 privind calitatea aerului înconjurător.</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III. </w:t>
      </w:r>
      <w:r w:rsidRPr="00AF322F">
        <w:rPr>
          <w:rFonts w:ascii="Times New Roman" w:eastAsia="Calibri" w:hAnsi="Times New Roman" w:cs="Times New Roman"/>
          <w:b/>
          <w:bCs/>
          <w:sz w:val="28"/>
          <w:szCs w:val="28"/>
          <w:u w:val="single"/>
          <w:lang w:val="en-US" w:eastAsia="en-US"/>
        </w:rPr>
        <w:t>Monitorizarea mediului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1. Indicatorii fizico-chimici, bacteriologici şi biologici emişi, imisiile poluan-</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ților, frecvenţa, modul de valorificare a rezultatelor :</w:t>
      </w:r>
      <w:r w:rsidRPr="00AF322F">
        <w:rPr>
          <w:rFonts w:ascii="Times New Roman" w:eastAsia="Calibri" w:hAnsi="Times New Roman" w:cs="Times New Roman"/>
          <w:sz w:val="28"/>
          <w:szCs w:val="28"/>
          <w:lang w:val="en-US" w:eastAsia="en-US"/>
        </w:rPr>
        <w:t xml:space="preserve"> nu este cazul; conform prevederilor Autorizației de gospodărire a apelor nr. 118 /04.06.2020, se vor borna (cu borne din beton, cu înălţimea de 1,5 m, ce vor fi vopsite la capete) pe teren un număr de 41 profile transversale stabilite pe planul de situaţie şi se vor efectua măsurători topo post – execuţie şi la cel mult 15 zile după viiturile importante.</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2. Datele ce vor fi raportate autorităţii teritoriale pentru protecţia mediului şi periodicitatea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cele solicitate de Agenţia pentru Protecţia Mediului Neamţ, conform prevederilor legale în domeniu, respectându-se termenul cerut.</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bCs/>
          <w:sz w:val="28"/>
          <w:szCs w:val="28"/>
          <w:lang w:val="en-US" w:eastAsia="en-US"/>
        </w:rPr>
        <w:t xml:space="preserve">IV. </w:t>
      </w:r>
      <w:r w:rsidRPr="00AF322F">
        <w:rPr>
          <w:rFonts w:ascii="Times New Roman" w:eastAsia="Calibri" w:hAnsi="Times New Roman" w:cs="Times New Roman"/>
          <w:b/>
          <w:bCs/>
          <w:sz w:val="28"/>
          <w:szCs w:val="28"/>
          <w:u w:val="single"/>
          <w:lang w:val="en-US" w:eastAsia="en-US"/>
        </w:rPr>
        <w:t>Modul de gospodărire a deşeurilor şi a ambalajelor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Deşeurile produse (tipuri, compoziţie, cantităţi) :</w:t>
      </w:r>
      <w:r w:rsidRPr="00AF322F">
        <w:rPr>
          <w:rFonts w:ascii="Times New Roman" w:eastAsia="Calibri" w:hAnsi="Times New Roman" w:cs="Times New Roman"/>
          <w:sz w:val="28"/>
          <w:szCs w:val="28"/>
          <w:lang w:val="en-US" w:eastAsia="en-US"/>
        </w:rPr>
        <w:t>nu rezultă deşeuri.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2. Deşeurile colectate (tipuri, compoziţie, cantităţi, frecvenţă) :</w:t>
      </w:r>
      <w:r w:rsidRPr="00AF322F">
        <w:rPr>
          <w:rFonts w:ascii="Times New Roman" w:eastAsia="Calibri" w:hAnsi="Times New Roman" w:cs="Times New Roman"/>
          <w:sz w:val="28"/>
          <w:szCs w:val="28"/>
          <w:lang w:val="en-US" w:eastAsia="en-US"/>
        </w:rPr>
        <w:t xml:space="preserve"> 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3. Deşeurile stocate temporar (tipuri, compoziţie, cantităţi, mod de stocare):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4. Deşeurile valorificate (tipuri, compoziţie, cantităţi, destinaţie)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5. Modul de transport al deşeurilor şi măsurile pentru protecţia mediului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6. Mod de eliminare (depozitare definitivă,incinerare) :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7. Monitorizarea gestiunii deşeurilor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8. Ambalaje folosite şi rezultate – tipuri şi cantităţi :</w:t>
      </w:r>
      <w:r w:rsidRPr="00AF322F">
        <w:rPr>
          <w:rFonts w:ascii="Times New Roman" w:eastAsia="Calibri" w:hAnsi="Times New Roman" w:cs="Times New Roman"/>
          <w:sz w:val="28"/>
          <w:szCs w:val="28"/>
          <w:lang w:val="en-US" w:eastAsia="en-US"/>
        </w:rPr>
        <w:t>nu sunt.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9. Modul de gospodărire a ambalajelor (valorificate) :</w:t>
      </w:r>
      <w:r w:rsidRPr="00AF322F">
        <w:rPr>
          <w:rFonts w:ascii="Times New Roman" w:eastAsia="Calibri" w:hAnsi="Times New Roman" w:cs="Times New Roman"/>
          <w:sz w:val="28"/>
          <w:szCs w:val="28"/>
          <w:lang w:val="en-US" w:eastAsia="en-US"/>
        </w:rPr>
        <w:t>nu este cazul .</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en-US" w:eastAsia="en-US"/>
        </w:rPr>
      </w:pPr>
      <w:r w:rsidRPr="00AF322F">
        <w:rPr>
          <w:rFonts w:ascii="Times New Roman" w:eastAsia="Calibri" w:hAnsi="Times New Roman" w:cs="Times New Roman"/>
          <w:b/>
          <w:bCs/>
          <w:sz w:val="28"/>
          <w:szCs w:val="28"/>
          <w:lang w:val="en-US" w:eastAsia="en-US"/>
        </w:rPr>
        <w:t xml:space="preserve">V. </w:t>
      </w:r>
      <w:r w:rsidRPr="00AF322F">
        <w:rPr>
          <w:rFonts w:ascii="Times New Roman" w:eastAsia="Calibri" w:hAnsi="Times New Roman" w:cs="Times New Roman"/>
          <w:b/>
          <w:bCs/>
          <w:sz w:val="28"/>
          <w:szCs w:val="28"/>
          <w:u w:val="single"/>
          <w:lang w:val="en-US" w:eastAsia="en-US"/>
        </w:rPr>
        <w:t>Modul de gospodărire a substanţelor şi preparatelor periculoase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Substanţele şi preparatele periculoase produse sau folosite ori comercializate/ transportate (categorii, cantităţi) :</w:t>
      </w:r>
      <w:r w:rsidRPr="00AF322F">
        <w:rPr>
          <w:rFonts w:ascii="Times New Roman" w:eastAsia="Calibri" w:hAnsi="Times New Roman" w:cs="Times New Roman"/>
          <w:sz w:val="28"/>
          <w:szCs w:val="28"/>
          <w:lang w:val="en-US" w:eastAsia="en-US"/>
        </w:rPr>
        <w:t xml:space="preserve"> motorină.</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2. Modul de gospodărire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ambalare : - butoi metalic;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transport : - cu mijloace de transport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depozitare : - se interzice depozitarea pe amplasamentul perimetrului de exploatare balast.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folosire /comercializare : - alimentare utilaje şi mijloace de transport.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3. Modul de gospodărire a ambalajelor folosite sau rezultate de la substanţele şi preparatele periculoase :</w:t>
      </w:r>
      <w:r w:rsidRPr="00AF322F">
        <w:rPr>
          <w:rFonts w:ascii="Times New Roman" w:eastAsia="Calibri" w:hAnsi="Times New Roman" w:cs="Times New Roman"/>
          <w:sz w:val="28"/>
          <w:szCs w:val="28"/>
          <w:lang w:val="en-US" w:eastAsia="en-US"/>
        </w:rPr>
        <w:t>se refolosesc la alimentare carburant.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4. Instalaţiile, amenajările, dotările şi măsurile pentru protecţia factorilor de mediu şi pentru intervenţie în caz de accident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5. Monitorizarea gospodăririi substanţelor şi preparatelor periculoase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ţine evidenţa cantităţii de motorină folosită.</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bCs/>
          <w:sz w:val="28"/>
          <w:szCs w:val="28"/>
          <w:lang w:val="en-US" w:eastAsia="en-US"/>
        </w:rPr>
        <w:t xml:space="preserve">VI. </w:t>
      </w:r>
      <w:r w:rsidRPr="00AF322F">
        <w:rPr>
          <w:rFonts w:ascii="Times New Roman" w:eastAsia="Calibri" w:hAnsi="Times New Roman" w:cs="Times New Roman"/>
          <w:b/>
          <w:bCs/>
          <w:sz w:val="28"/>
          <w:szCs w:val="28"/>
          <w:u w:val="single"/>
          <w:lang w:val="en-US" w:eastAsia="en-US"/>
        </w:rPr>
        <w:t>Programul de conformare</w:t>
      </w:r>
      <w:r w:rsidRPr="00AF322F">
        <w:rPr>
          <w:rFonts w:ascii="Times New Roman" w:eastAsia="Calibri" w:hAnsi="Times New Roman" w:cs="Times New Roman"/>
          <w:sz w:val="28"/>
          <w:szCs w:val="28"/>
          <w:lang w:val="en-US" w:eastAsia="en-US"/>
        </w:rPr>
        <w:t xml:space="preserve"> – Măsuri pentru reducerea efectelor prezente şi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viitoare ale activităţilor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1.Domeniul</w:t>
      </w:r>
      <w:r w:rsidRPr="00AF322F">
        <w:rPr>
          <w:rFonts w:ascii="Times New Roman" w:eastAsia="Calibri" w:hAnsi="Times New Roman" w:cs="Times New Roman"/>
          <w:sz w:val="28"/>
          <w:szCs w:val="28"/>
          <w:lang w:val="en-US" w:eastAsia="en-US"/>
        </w:rPr>
        <w:t xml:space="preserve"> [protecţia solului şi apelor subterane; descărcarea apelor uzate; emisii atmosferice; gestiunea deşeurilor; altele (zgomot, prezenţa azbestului,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etc.)]: denumirea măsurii, performanţa /obiective de remediere (pe fiecare măsură), termen de finalizare (pe fiecare măsură): 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2. Sursa de finanţare</w:t>
      </w:r>
      <w:r w:rsidRPr="00AF322F">
        <w:rPr>
          <w:rFonts w:ascii="Times New Roman" w:eastAsia="Calibri" w:hAnsi="Times New Roman" w:cs="Times New Roman"/>
          <w:sz w:val="28"/>
          <w:szCs w:val="28"/>
          <w:lang w:val="en-US" w:eastAsia="en-US"/>
        </w:rPr>
        <w:t xml:space="preserve"> (pe fiecare măsură), evidenţe, rapoarte: nu este cazul.</w:t>
      </w:r>
      <w:bookmarkStart w:id="0" w:name="_GoBack"/>
      <w:bookmarkEnd w:id="0"/>
    </w:p>
    <w:sectPr w:rsidR="00AF322F" w:rsidRPr="00AF322F" w:rsidSect="003A21BE">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F1" w:rsidRDefault="00706AF1" w:rsidP="00D46EFB">
      <w:pPr>
        <w:spacing w:after="0" w:line="240" w:lineRule="auto"/>
      </w:pPr>
      <w:r>
        <w:separator/>
      </w:r>
    </w:p>
  </w:endnote>
  <w:endnote w:type="continuationSeparator" w:id="1">
    <w:p w:rsidR="00706AF1" w:rsidRDefault="00706AF1"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F1" w:rsidRDefault="00706AF1" w:rsidP="00D46EFB">
      <w:pPr>
        <w:spacing w:after="0" w:line="240" w:lineRule="auto"/>
      </w:pPr>
      <w:r>
        <w:separator/>
      </w:r>
    </w:p>
  </w:footnote>
  <w:footnote w:type="continuationSeparator" w:id="1">
    <w:p w:rsidR="00706AF1" w:rsidRDefault="00706AF1"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250F1A"/>
    <w:multiLevelType w:val="hybridMultilevel"/>
    <w:tmpl w:val="253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92552C"/>
    <w:multiLevelType w:val="hybridMultilevel"/>
    <w:tmpl w:val="9E8A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0"/>
  </w:num>
  <w:num w:numId="4">
    <w:abstractNumId w:val="24"/>
  </w:num>
  <w:num w:numId="5">
    <w:abstractNumId w:val="14"/>
  </w:num>
  <w:num w:numId="6">
    <w:abstractNumId w:val="11"/>
  </w:num>
  <w:num w:numId="7">
    <w:abstractNumId w:val="13"/>
  </w:num>
  <w:num w:numId="8">
    <w:abstractNumId w:val="15"/>
  </w:num>
  <w:num w:numId="9">
    <w:abstractNumId w:val="10"/>
  </w:num>
  <w:num w:numId="10">
    <w:abstractNumId w:val="25"/>
  </w:num>
  <w:num w:numId="11">
    <w:abstractNumId w:val="26"/>
  </w:num>
  <w:num w:numId="12">
    <w:abstractNumId w:val="32"/>
  </w:num>
  <w:num w:numId="13">
    <w:abstractNumId w:val="28"/>
  </w:num>
  <w:num w:numId="14">
    <w:abstractNumId w:val="19"/>
  </w:num>
  <w:num w:numId="15">
    <w:abstractNumId w:val="34"/>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2"/>
  </w:num>
  <w:num w:numId="29">
    <w:abstractNumId w:val="20"/>
  </w:num>
  <w:num w:numId="30">
    <w:abstractNumId w:val="31"/>
  </w:num>
  <w:num w:numId="31">
    <w:abstractNumId w:val="23"/>
  </w:num>
  <w:num w:numId="32">
    <w:abstractNumId w:val="21"/>
  </w:num>
  <w:num w:numId="33">
    <w:abstractNumId w:val="33"/>
  </w:num>
  <w:num w:numId="34">
    <w:abstractNumId w:val="12"/>
  </w:num>
  <w:num w:numId="35">
    <w:abstractNumId w:val="3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4F5D1F"/>
    <w:rsid w:val="00000826"/>
    <w:rsid w:val="00003B33"/>
    <w:rsid w:val="00044B40"/>
    <w:rsid w:val="0004523C"/>
    <w:rsid w:val="000456CB"/>
    <w:rsid w:val="00062FB7"/>
    <w:rsid w:val="0006568E"/>
    <w:rsid w:val="000740D9"/>
    <w:rsid w:val="000C6C55"/>
    <w:rsid w:val="000E2082"/>
    <w:rsid w:val="00106861"/>
    <w:rsid w:val="0011540E"/>
    <w:rsid w:val="00115C3B"/>
    <w:rsid w:val="00132DCC"/>
    <w:rsid w:val="001343EF"/>
    <w:rsid w:val="00134426"/>
    <w:rsid w:val="00144803"/>
    <w:rsid w:val="00152879"/>
    <w:rsid w:val="0017229E"/>
    <w:rsid w:val="001A5346"/>
    <w:rsid w:val="001B26F0"/>
    <w:rsid w:val="001B4A92"/>
    <w:rsid w:val="001B533B"/>
    <w:rsid w:val="001C7652"/>
    <w:rsid w:val="001D0AB4"/>
    <w:rsid w:val="001F17F8"/>
    <w:rsid w:val="001F7AA8"/>
    <w:rsid w:val="002069EF"/>
    <w:rsid w:val="00223F91"/>
    <w:rsid w:val="002255AE"/>
    <w:rsid w:val="002346B7"/>
    <w:rsid w:val="00242BF7"/>
    <w:rsid w:val="0026108D"/>
    <w:rsid w:val="00272BE6"/>
    <w:rsid w:val="00282149"/>
    <w:rsid w:val="00284040"/>
    <w:rsid w:val="002B46EB"/>
    <w:rsid w:val="002C0CE8"/>
    <w:rsid w:val="00323FEE"/>
    <w:rsid w:val="003333E7"/>
    <w:rsid w:val="00357FC3"/>
    <w:rsid w:val="00393B86"/>
    <w:rsid w:val="003A0E61"/>
    <w:rsid w:val="003C5AB6"/>
    <w:rsid w:val="003D2AA5"/>
    <w:rsid w:val="003D325C"/>
    <w:rsid w:val="003D7CFF"/>
    <w:rsid w:val="003F10B5"/>
    <w:rsid w:val="00433CFC"/>
    <w:rsid w:val="004374D8"/>
    <w:rsid w:val="00445CE6"/>
    <w:rsid w:val="0047579D"/>
    <w:rsid w:val="004938F1"/>
    <w:rsid w:val="004B6EF0"/>
    <w:rsid w:val="004B716F"/>
    <w:rsid w:val="004C0B99"/>
    <w:rsid w:val="004C11F6"/>
    <w:rsid w:val="004D2900"/>
    <w:rsid w:val="004D6963"/>
    <w:rsid w:val="004F203A"/>
    <w:rsid w:val="004F5D1F"/>
    <w:rsid w:val="005012B1"/>
    <w:rsid w:val="00533EB3"/>
    <w:rsid w:val="00591BC6"/>
    <w:rsid w:val="00592F27"/>
    <w:rsid w:val="005C185C"/>
    <w:rsid w:val="005D77EF"/>
    <w:rsid w:val="005F0EAE"/>
    <w:rsid w:val="005F1B1B"/>
    <w:rsid w:val="005F7389"/>
    <w:rsid w:val="00603234"/>
    <w:rsid w:val="006075C6"/>
    <w:rsid w:val="006203A8"/>
    <w:rsid w:val="0062683E"/>
    <w:rsid w:val="00647B22"/>
    <w:rsid w:val="00651EBA"/>
    <w:rsid w:val="00655399"/>
    <w:rsid w:val="0065691E"/>
    <w:rsid w:val="00693347"/>
    <w:rsid w:val="006A2E7E"/>
    <w:rsid w:val="006B3584"/>
    <w:rsid w:val="006B6AD6"/>
    <w:rsid w:val="006D71C4"/>
    <w:rsid w:val="006F453A"/>
    <w:rsid w:val="0070642B"/>
    <w:rsid w:val="00706AF1"/>
    <w:rsid w:val="007247CC"/>
    <w:rsid w:val="00724FE3"/>
    <w:rsid w:val="00780196"/>
    <w:rsid w:val="007A4352"/>
    <w:rsid w:val="007B202F"/>
    <w:rsid w:val="007C3C4A"/>
    <w:rsid w:val="007D2622"/>
    <w:rsid w:val="007E7E77"/>
    <w:rsid w:val="007F618A"/>
    <w:rsid w:val="00803414"/>
    <w:rsid w:val="0081010C"/>
    <w:rsid w:val="0081297F"/>
    <w:rsid w:val="00820985"/>
    <w:rsid w:val="008221B1"/>
    <w:rsid w:val="0082387D"/>
    <w:rsid w:val="0082669C"/>
    <w:rsid w:val="00841640"/>
    <w:rsid w:val="008559B3"/>
    <w:rsid w:val="008643DB"/>
    <w:rsid w:val="00892AB8"/>
    <w:rsid w:val="008A4492"/>
    <w:rsid w:val="008C0A6C"/>
    <w:rsid w:val="008C2F28"/>
    <w:rsid w:val="008C462F"/>
    <w:rsid w:val="008D1123"/>
    <w:rsid w:val="00912A0E"/>
    <w:rsid w:val="009132B4"/>
    <w:rsid w:val="00916A7B"/>
    <w:rsid w:val="00926EFE"/>
    <w:rsid w:val="009367C1"/>
    <w:rsid w:val="009451C9"/>
    <w:rsid w:val="00986631"/>
    <w:rsid w:val="00990EB0"/>
    <w:rsid w:val="009A2736"/>
    <w:rsid w:val="009B0980"/>
    <w:rsid w:val="009C100B"/>
    <w:rsid w:val="009C3061"/>
    <w:rsid w:val="009D7EBA"/>
    <w:rsid w:val="00A3485A"/>
    <w:rsid w:val="00A473A2"/>
    <w:rsid w:val="00A705FF"/>
    <w:rsid w:val="00A8658A"/>
    <w:rsid w:val="00A8799E"/>
    <w:rsid w:val="00A91F2C"/>
    <w:rsid w:val="00AB0E00"/>
    <w:rsid w:val="00AC1DD8"/>
    <w:rsid w:val="00AC28F5"/>
    <w:rsid w:val="00AE139D"/>
    <w:rsid w:val="00AF0EED"/>
    <w:rsid w:val="00AF159B"/>
    <w:rsid w:val="00AF322F"/>
    <w:rsid w:val="00AF783A"/>
    <w:rsid w:val="00B26BAA"/>
    <w:rsid w:val="00B273DD"/>
    <w:rsid w:val="00B5589C"/>
    <w:rsid w:val="00B57138"/>
    <w:rsid w:val="00B71E33"/>
    <w:rsid w:val="00B77546"/>
    <w:rsid w:val="00B80351"/>
    <w:rsid w:val="00B80CBB"/>
    <w:rsid w:val="00B87F67"/>
    <w:rsid w:val="00BD4580"/>
    <w:rsid w:val="00BF568D"/>
    <w:rsid w:val="00C06B99"/>
    <w:rsid w:val="00C12AC5"/>
    <w:rsid w:val="00C15982"/>
    <w:rsid w:val="00C171C1"/>
    <w:rsid w:val="00C36A0E"/>
    <w:rsid w:val="00C532E7"/>
    <w:rsid w:val="00C76268"/>
    <w:rsid w:val="00C90D6F"/>
    <w:rsid w:val="00CA78D3"/>
    <w:rsid w:val="00CB65FC"/>
    <w:rsid w:val="00CB7D65"/>
    <w:rsid w:val="00CC5FF6"/>
    <w:rsid w:val="00CD05B9"/>
    <w:rsid w:val="00CD77B0"/>
    <w:rsid w:val="00CE25F7"/>
    <w:rsid w:val="00D01CB6"/>
    <w:rsid w:val="00D0407D"/>
    <w:rsid w:val="00D14070"/>
    <w:rsid w:val="00D178B5"/>
    <w:rsid w:val="00D221FF"/>
    <w:rsid w:val="00D46EFB"/>
    <w:rsid w:val="00D52F70"/>
    <w:rsid w:val="00D56DDD"/>
    <w:rsid w:val="00D6026A"/>
    <w:rsid w:val="00D7765E"/>
    <w:rsid w:val="00D80964"/>
    <w:rsid w:val="00D83850"/>
    <w:rsid w:val="00D85D74"/>
    <w:rsid w:val="00D93E67"/>
    <w:rsid w:val="00DB6996"/>
    <w:rsid w:val="00DF6146"/>
    <w:rsid w:val="00E015D5"/>
    <w:rsid w:val="00E01B58"/>
    <w:rsid w:val="00E12720"/>
    <w:rsid w:val="00E13266"/>
    <w:rsid w:val="00E34833"/>
    <w:rsid w:val="00E3592E"/>
    <w:rsid w:val="00E451E9"/>
    <w:rsid w:val="00E74937"/>
    <w:rsid w:val="00E8461C"/>
    <w:rsid w:val="00EB197A"/>
    <w:rsid w:val="00EB3D8A"/>
    <w:rsid w:val="00ED3F5B"/>
    <w:rsid w:val="00ED6EDC"/>
    <w:rsid w:val="00EE6370"/>
    <w:rsid w:val="00EF599A"/>
    <w:rsid w:val="00F14A9A"/>
    <w:rsid w:val="00F30F41"/>
    <w:rsid w:val="00F413F7"/>
    <w:rsid w:val="00F6260F"/>
    <w:rsid w:val="00F65422"/>
    <w:rsid w:val="00F7589B"/>
    <w:rsid w:val="00F83584"/>
    <w:rsid w:val="00FA29BA"/>
    <w:rsid w:val="00FB13D0"/>
    <w:rsid w:val="00FC0354"/>
    <w:rsid w:val="00FE5D14"/>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2020-08-05T05:54:00Z</dcterms:created>
  <dcterms:modified xsi:type="dcterms:W3CDTF">2020-08-05T05:54:00Z</dcterms:modified>
</cp:coreProperties>
</file>